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A743" w14:textId="77777777" w:rsidR="00F0784C" w:rsidRPr="004C4D9A" w:rsidRDefault="00931486" w:rsidP="004B1B08">
      <w:pPr>
        <w:pStyle w:val="a5"/>
        <w:spacing w:line="260" w:lineRule="exact"/>
        <w:jc w:val="center"/>
        <w:rPr>
          <w:rFonts w:ascii="ＭＳ Ｐゴシック" w:eastAsia="ＭＳ Ｐゴシック" w:hAnsi="ＭＳ Ｐゴシック"/>
          <w:color w:val="000000" w:themeColor="text1"/>
          <w:sz w:val="22"/>
          <w:szCs w:val="24"/>
          <w:lang w:eastAsia="zh-TW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4"/>
          <w:lang w:eastAsia="zh-TW"/>
        </w:rPr>
        <w:t>○○○○</w:t>
      </w:r>
      <w:r w:rsidR="006841C1" w:rsidRPr="004C4D9A">
        <w:rPr>
          <w:rFonts w:ascii="ＭＳ Ｐゴシック" w:eastAsia="ＭＳ Ｐゴシック" w:hAnsi="ＭＳ Ｐゴシック" w:hint="eastAsia"/>
          <w:color w:val="000000" w:themeColor="text1"/>
          <w:sz w:val="22"/>
          <w:szCs w:val="24"/>
          <w:lang w:eastAsia="zh-TW"/>
        </w:rPr>
        <w:t>年度事業概要報告書</w:t>
      </w:r>
    </w:p>
    <w:p w14:paraId="06586B97" w14:textId="77777777" w:rsidR="00F0784C" w:rsidRPr="004C4D9A" w:rsidRDefault="00F0784C" w:rsidP="00F0784C">
      <w:pPr>
        <w:pStyle w:val="a5"/>
        <w:spacing w:line="260" w:lineRule="exact"/>
        <w:jc w:val="center"/>
        <w:rPr>
          <w:rFonts w:ascii="ＭＳ Ｐゴシック" w:eastAsia="PMingLiU" w:hAnsi="ＭＳ Ｐゴシック"/>
          <w:color w:val="000000" w:themeColor="text1"/>
          <w:sz w:val="24"/>
          <w:szCs w:val="24"/>
          <w:lang w:eastAsia="zh-TW"/>
        </w:rPr>
      </w:pPr>
    </w:p>
    <w:p w14:paraId="092446D1" w14:textId="77777777" w:rsidR="00914228" w:rsidRPr="004C4D9A" w:rsidRDefault="00914228" w:rsidP="00914228">
      <w:pPr>
        <w:pStyle w:val="a5"/>
        <w:spacing w:line="260" w:lineRule="exact"/>
        <w:jc w:val="right"/>
        <w:rPr>
          <w:rFonts w:ascii="ＭＳ Ｐゴシック" w:eastAsia="PMingLiU" w:hAnsi="ＭＳ Ｐゴシック"/>
          <w:color w:val="000000" w:themeColor="text1"/>
          <w:sz w:val="24"/>
          <w:szCs w:val="24"/>
          <w:lang w:eastAsia="zh-TW"/>
        </w:rPr>
      </w:pPr>
      <w:r w:rsidRPr="004C4D9A">
        <w:rPr>
          <w:rFonts w:ascii="ＭＳ Ｐゴシック" w:eastAsia="ＭＳ Ｐゴシック" w:hAnsi="ＭＳ Ｐゴシック" w:hint="eastAsia"/>
          <w:color w:val="000000" w:themeColor="text1"/>
          <w:sz w:val="22"/>
          <w:szCs w:val="24"/>
          <w:lang w:eastAsia="zh-TW"/>
        </w:rPr>
        <w:t>年　　月　　日</w:t>
      </w:r>
    </w:p>
    <w:p w14:paraId="4FBD73ED" w14:textId="77777777" w:rsidR="00F0784C" w:rsidRPr="004C4D9A" w:rsidRDefault="00B66DB3" w:rsidP="0065492C">
      <w:pPr>
        <w:spacing w:line="300" w:lineRule="exact"/>
        <w:rPr>
          <w:rFonts w:ascii="ＭＳ Ｐゴシック" w:eastAsia="PMingLiU" w:hAnsi="ＭＳ Ｐゴシック"/>
          <w:color w:val="000000" w:themeColor="text1"/>
          <w:sz w:val="22"/>
          <w:szCs w:val="24"/>
          <w:lang w:eastAsia="zh-TW"/>
        </w:rPr>
      </w:pPr>
      <w:r w:rsidRPr="004C4D9A">
        <w:rPr>
          <w:rFonts w:ascii="ＭＳ Ｐゴシック" w:eastAsia="ＭＳ Ｐゴシック" w:hAnsi="ＭＳ Ｐゴシック" w:hint="eastAsia"/>
          <w:color w:val="000000" w:themeColor="text1"/>
          <w:sz w:val="22"/>
          <w:szCs w:val="24"/>
          <w:lang w:eastAsia="zh-TW"/>
        </w:rPr>
        <w:t>事業者名：</w:t>
      </w:r>
    </w:p>
    <w:p w14:paraId="32152730" w14:textId="77777777" w:rsidR="00F0784C" w:rsidRPr="004C4D9A" w:rsidRDefault="00B66DB3" w:rsidP="0065492C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 w:val="22"/>
          <w:szCs w:val="24"/>
        </w:rPr>
      </w:pPr>
      <w:r w:rsidRPr="004C4D9A">
        <w:rPr>
          <w:rFonts w:ascii="ＭＳ Ｐゴシック" w:eastAsia="ＭＳ Ｐゴシック" w:hAnsi="ＭＳ Ｐゴシック" w:hint="eastAsia"/>
          <w:color w:val="000000" w:themeColor="text1"/>
          <w:sz w:val="22"/>
          <w:szCs w:val="24"/>
        </w:rPr>
        <w:t>測定ツール名：</w:t>
      </w:r>
    </w:p>
    <w:p w14:paraId="708D18FA" w14:textId="77777777" w:rsidR="000B7DDE" w:rsidRPr="004C4D9A" w:rsidRDefault="00B66DB3" w:rsidP="0065492C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 w:val="22"/>
          <w:szCs w:val="24"/>
        </w:rPr>
      </w:pPr>
      <w:r w:rsidRPr="004C4D9A">
        <w:rPr>
          <w:rFonts w:ascii="ＭＳ Ｐゴシック" w:eastAsia="ＭＳ Ｐゴシック" w:hAnsi="ＭＳ Ｐゴシック" w:hint="eastAsia"/>
          <w:color w:val="000000" w:themeColor="text1"/>
          <w:sz w:val="22"/>
          <w:szCs w:val="24"/>
        </w:rPr>
        <w:t>対象教科：</w:t>
      </w:r>
    </w:p>
    <w:p w14:paraId="70042607" w14:textId="77777777" w:rsidR="006841C1" w:rsidRPr="004C4D9A" w:rsidRDefault="006841C1" w:rsidP="0065492C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 w:val="22"/>
          <w:szCs w:val="24"/>
        </w:rPr>
      </w:pPr>
      <w:r w:rsidRPr="004C4D9A">
        <w:rPr>
          <w:rFonts w:ascii="ＭＳ Ｐゴシック" w:eastAsia="ＭＳ Ｐゴシック" w:hAnsi="ＭＳ Ｐゴシック" w:hint="eastAsia"/>
          <w:color w:val="000000" w:themeColor="text1"/>
          <w:sz w:val="22"/>
          <w:szCs w:val="24"/>
        </w:rPr>
        <w:t>測定内容の区分：</w:t>
      </w:r>
    </w:p>
    <w:p w14:paraId="6A33DA71" w14:textId="77777777" w:rsidR="006841C1" w:rsidRPr="004C4D9A" w:rsidRDefault="00BE48DF" w:rsidP="0065492C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 w:val="22"/>
          <w:szCs w:val="24"/>
        </w:rPr>
      </w:pPr>
      <w:r w:rsidRPr="004C4D9A">
        <w:rPr>
          <w:rFonts w:ascii="ＭＳ Ｐゴシック" w:eastAsia="ＭＳ Ｐゴシック" w:hAnsi="ＭＳ Ｐゴシック" w:hint="eastAsia"/>
          <w:color w:val="000000" w:themeColor="text1"/>
          <w:sz w:val="22"/>
          <w:szCs w:val="24"/>
        </w:rPr>
        <w:t>認定有効期間：</w:t>
      </w:r>
    </w:p>
    <w:p w14:paraId="625023A6" w14:textId="574A27A2" w:rsidR="00774335" w:rsidRPr="00D10931" w:rsidRDefault="00774335" w:rsidP="0065492C">
      <w:pPr>
        <w:spacing w:line="300" w:lineRule="exact"/>
        <w:ind w:left="141" w:hangingChars="64" w:hanging="141"/>
        <w:rPr>
          <w:rFonts w:ascii="ＭＳ 明朝" w:eastAsia="ＭＳ 明朝" w:hAnsi="ＭＳ 明朝"/>
          <w:color w:val="0070C0"/>
          <w:sz w:val="22"/>
        </w:rPr>
      </w:pPr>
      <w:r w:rsidRPr="00D10931">
        <w:rPr>
          <w:rFonts w:ascii="ＭＳ 明朝" w:eastAsia="ＭＳ 明朝" w:hAnsi="ＭＳ 明朝" w:hint="eastAsia"/>
          <w:color w:val="0070C0"/>
          <w:sz w:val="22"/>
        </w:rPr>
        <w:t>※認定を受けた年度の</w:t>
      </w:r>
      <w:r w:rsidR="0058447B" w:rsidRPr="00D10931">
        <w:rPr>
          <w:rFonts w:ascii="ＭＳ 明朝" w:eastAsia="ＭＳ 明朝" w:hAnsi="ＭＳ 明朝" w:hint="eastAsia"/>
          <w:color w:val="0070C0"/>
          <w:sz w:val="22"/>
        </w:rPr>
        <w:t>次</w:t>
      </w:r>
      <w:r w:rsidRPr="00D10931">
        <w:rPr>
          <w:rFonts w:ascii="ＭＳ 明朝" w:eastAsia="ＭＳ 明朝" w:hAnsi="ＭＳ 明朝" w:hint="eastAsia"/>
          <w:color w:val="0070C0"/>
          <w:sz w:val="22"/>
        </w:rPr>
        <w:t>年度以降毎年度の事業概要を提出すること（例：</w:t>
      </w:r>
      <w:r w:rsidR="0050792F">
        <w:rPr>
          <w:rFonts w:ascii="ＭＳ 明朝" w:eastAsia="ＭＳ 明朝" w:hAnsi="ＭＳ 明朝" w:hint="eastAsia"/>
          <w:color w:val="0070C0"/>
          <w:sz w:val="22"/>
        </w:rPr>
        <w:t>2024</w:t>
      </w:r>
      <w:r w:rsidRPr="00D10931">
        <w:rPr>
          <w:rFonts w:ascii="ＭＳ 明朝" w:eastAsia="ＭＳ 明朝" w:hAnsi="ＭＳ 明朝" w:hint="eastAsia"/>
          <w:color w:val="0070C0"/>
          <w:sz w:val="22"/>
        </w:rPr>
        <w:t>年度に認定を受けた測定ツールについては、</w:t>
      </w:r>
      <w:r w:rsidR="0050792F">
        <w:rPr>
          <w:rFonts w:ascii="ＭＳ 明朝" w:eastAsia="ＭＳ 明朝" w:hAnsi="ＭＳ 明朝" w:hint="eastAsia"/>
          <w:color w:val="0070C0"/>
          <w:sz w:val="22"/>
        </w:rPr>
        <w:t>2025</w:t>
      </w:r>
      <w:r w:rsidRPr="00D10931">
        <w:rPr>
          <w:rFonts w:ascii="ＭＳ 明朝" w:eastAsia="ＭＳ 明朝" w:hAnsi="ＭＳ 明朝" w:hint="eastAsia"/>
          <w:color w:val="0070C0"/>
          <w:sz w:val="22"/>
        </w:rPr>
        <w:t>年度事業概要報告書（実施期間：</w:t>
      </w:r>
      <w:r w:rsidR="0050792F">
        <w:rPr>
          <w:rFonts w:ascii="ＭＳ 明朝" w:eastAsia="ＭＳ 明朝" w:hAnsi="ＭＳ 明朝" w:hint="eastAsia"/>
          <w:color w:val="0070C0"/>
          <w:sz w:val="22"/>
        </w:rPr>
        <w:t>2025</w:t>
      </w:r>
      <w:r w:rsidRPr="00D10931">
        <w:rPr>
          <w:rFonts w:ascii="ＭＳ 明朝" w:eastAsia="ＭＳ 明朝" w:hAnsi="ＭＳ 明朝" w:hint="eastAsia"/>
          <w:color w:val="0070C0"/>
          <w:sz w:val="22"/>
        </w:rPr>
        <w:t>年4月1日～</w:t>
      </w:r>
      <w:r w:rsidR="0050792F">
        <w:rPr>
          <w:rFonts w:ascii="ＭＳ 明朝" w:eastAsia="ＭＳ 明朝" w:hAnsi="ＭＳ 明朝" w:hint="eastAsia"/>
          <w:color w:val="0070C0"/>
          <w:sz w:val="22"/>
        </w:rPr>
        <w:t>2026</w:t>
      </w:r>
      <w:r w:rsidRPr="00D10931">
        <w:rPr>
          <w:rFonts w:ascii="ＭＳ 明朝" w:eastAsia="ＭＳ 明朝" w:hAnsi="ＭＳ 明朝" w:hint="eastAsia"/>
          <w:color w:val="0070C0"/>
          <w:sz w:val="22"/>
        </w:rPr>
        <w:t>年3月31日）を</w:t>
      </w:r>
      <w:r w:rsidR="0050792F">
        <w:rPr>
          <w:rFonts w:ascii="ＭＳ 明朝" w:eastAsia="ＭＳ 明朝" w:hAnsi="ＭＳ 明朝" w:hint="eastAsia"/>
          <w:color w:val="0070C0"/>
          <w:sz w:val="22"/>
        </w:rPr>
        <w:t>2026</w:t>
      </w:r>
      <w:r w:rsidRPr="00D10931">
        <w:rPr>
          <w:rFonts w:ascii="ＭＳ 明朝" w:eastAsia="ＭＳ 明朝" w:hAnsi="ＭＳ 明朝" w:hint="eastAsia"/>
          <w:color w:val="0070C0"/>
          <w:sz w:val="22"/>
        </w:rPr>
        <w:t>年6月末までに提出。</w:t>
      </w:r>
      <w:r w:rsidR="0050792F">
        <w:rPr>
          <w:rFonts w:ascii="ＭＳ 明朝" w:eastAsia="ＭＳ 明朝" w:hAnsi="ＭＳ 明朝" w:hint="eastAsia"/>
          <w:color w:val="0070C0"/>
          <w:sz w:val="22"/>
        </w:rPr>
        <w:t>2026</w:t>
      </w:r>
      <w:r w:rsidRPr="00D10931">
        <w:rPr>
          <w:rFonts w:ascii="ＭＳ 明朝" w:eastAsia="ＭＳ 明朝" w:hAnsi="ＭＳ 明朝" w:hint="eastAsia"/>
          <w:color w:val="0070C0"/>
          <w:sz w:val="22"/>
        </w:rPr>
        <w:t>年度事業概要報告書、</w:t>
      </w:r>
      <w:r w:rsidR="0050792F">
        <w:rPr>
          <w:rFonts w:ascii="ＭＳ 明朝" w:eastAsia="ＭＳ 明朝" w:hAnsi="ＭＳ 明朝" w:hint="eastAsia"/>
          <w:color w:val="0070C0"/>
          <w:sz w:val="22"/>
        </w:rPr>
        <w:t>2027</w:t>
      </w:r>
      <w:r w:rsidRPr="00D10931">
        <w:rPr>
          <w:rFonts w:ascii="ＭＳ 明朝" w:eastAsia="ＭＳ 明朝" w:hAnsi="ＭＳ 明朝" w:hint="eastAsia"/>
          <w:color w:val="0070C0"/>
          <w:sz w:val="22"/>
        </w:rPr>
        <w:t>年度事業概要報告書も同様。）</w:t>
      </w:r>
    </w:p>
    <w:p w14:paraId="37748826" w14:textId="77777777" w:rsidR="000154FC" w:rsidRPr="00D10931" w:rsidRDefault="00AF589D" w:rsidP="0065492C">
      <w:pPr>
        <w:widowControl/>
        <w:spacing w:line="300" w:lineRule="exact"/>
        <w:ind w:left="147" w:hangingChars="67" w:hanging="147"/>
        <w:jc w:val="left"/>
        <w:rPr>
          <w:rFonts w:ascii="ＭＳ 明朝" w:eastAsia="ＭＳ 明朝" w:hAnsi="ＭＳ 明朝" w:cs="ＭＳ Ｐゴシック"/>
          <w:color w:val="0070C0"/>
          <w:kern w:val="0"/>
          <w:sz w:val="22"/>
        </w:rPr>
      </w:pPr>
      <w:r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※難易度等毎（同一</w:t>
      </w:r>
      <w:r w:rsidR="00C710B9"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の</w:t>
      </w:r>
      <w:r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測定ツール</w:t>
      </w:r>
      <w:r w:rsidR="00C710B9"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名</w:t>
      </w:r>
      <w:r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で複数レベルの難易度等の</w:t>
      </w:r>
      <w:r w:rsidR="00C710B9"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測定ツール</w:t>
      </w:r>
      <w:r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を提供</w:t>
      </w:r>
      <w:r w:rsidR="009F2E8A"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する</w:t>
      </w:r>
      <w:r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場合）</w:t>
      </w:r>
      <w:r w:rsidR="00134543"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・</w:t>
      </w:r>
      <w:r w:rsidR="00134543" w:rsidRPr="00D10931">
        <w:rPr>
          <w:rFonts w:asciiTheme="minorEastAsia" w:hAnsiTheme="minorEastAsia" w:cs="ＭＳ Ｐゴシック"/>
          <w:color w:val="0070C0"/>
          <w:kern w:val="0"/>
          <w:sz w:val="22"/>
        </w:rPr>
        <w:t>測定内容の区分</w:t>
      </w:r>
      <w:r w:rsidR="00134543"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毎</w:t>
      </w:r>
      <w:r w:rsidR="00134543" w:rsidRPr="00D10931">
        <w:rPr>
          <w:rFonts w:asciiTheme="minorEastAsia" w:hAnsiTheme="minorEastAsia" w:cs="ＭＳ Ｐゴシック"/>
          <w:color w:val="0070C0"/>
          <w:kern w:val="0"/>
          <w:sz w:val="22"/>
        </w:rPr>
        <w:t>（基本タイプ</w:t>
      </w:r>
      <w:r w:rsidR="00134543"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又は</w:t>
      </w:r>
      <w:r w:rsidR="00134543" w:rsidRPr="00D10931">
        <w:rPr>
          <w:rFonts w:asciiTheme="minorEastAsia" w:hAnsiTheme="minorEastAsia" w:cs="ＭＳ Ｐゴシック"/>
          <w:color w:val="0070C0"/>
          <w:kern w:val="0"/>
          <w:sz w:val="22"/>
        </w:rPr>
        <w:t>標準タイプ）</w:t>
      </w:r>
      <w:r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に作成すること。</w:t>
      </w:r>
      <w:r w:rsidR="003C75AC"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また、</w:t>
      </w:r>
      <w:r w:rsidR="003C75AC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複数教科</w:t>
      </w:r>
      <w:r w:rsidR="003C75AC" w:rsidRPr="00D10931">
        <w:rPr>
          <w:rFonts w:ascii="ＭＳ 明朝" w:eastAsia="ＭＳ 明朝" w:hAnsi="ＭＳ 明朝" w:cs="ＭＳ Ｐゴシック"/>
          <w:color w:val="0070C0"/>
          <w:kern w:val="0"/>
          <w:sz w:val="22"/>
        </w:rPr>
        <w:t>で構成されている場合</w:t>
      </w:r>
      <w:r w:rsidR="003C75AC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、</w:t>
      </w:r>
      <w:r w:rsidR="003C75AC" w:rsidRPr="00D10931">
        <w:rPr>
          <w:rFonts w:ascii="ＭＳ 明朝" w:eastAsia="ＭＳ 明朝" w:hAnsi="ＭＳ 明朝" w:cs="ＭＳ Ｐゴシック"/>
          <w:color w:val="0070C0"/>
          <w:kern w:val="0"/>
          <w:sz w:val="22"/>
        </w:rPr>
        <w:t>教科</w:t>
      </w:r>
      <w:r w:rsidR="003C75AC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毎</w:t>
      </w:r>
      <w:r w:rsidR="003C75AC" w:rsidRPr="00D10931">
        <w:rPr>
          <w:rFonts w:ascii="ＭＳ 明朝" w:eastAsia="ＭＳ 明朝" w:hAnsi="ＭＳ 明朝" w:cs="ＭＳ Ｐゴシック"/>
          <w:color w:val="0070C0"/>
          <w:kern w:val="0"/>
          <w:sz w:val="22"/>
        </w:rPr>
        <w:t>で</w:t>
      </w:r>
      <w:r w:rsidR="003C75AC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内容が</w:t>
      </w:r>
      <w:r w:rsidR="003C75AC" w:rsidRPr="00D10931">
        <w:rPr>
          <w:rFonts w:ascii="ＭＳ 明朝" w:eastAsia="ＭＳ 明朝" w:hAnsi="ＭＳ 明朝" w:cs="ＭＳ Ｐゴシック"/>
          <w:color w:val="0070C0"/>
          <w:kern w:val="0"/>
          <w:sz w:val="22"/>
        </w:rPr>
        <w:t>異なる</w:t>
      </w:r>
      <w:r w:rsidR="003C75AC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事項に</w:t>
      </w:r>
      <w:r w:rsidR="003C75AC" w:rsidRPr="00D10931">
        <w:rPr>
          <w:rFonts w:ascii="ＭＳ 明朝" w:eastAsia="ＭＳ 明朝" w:hAnsi="ＭＳ 明朝" w:cs="ＭＳ Ｐゴシック"/>
          <w:color w:val="0070C0"/>
          <w:kern w:val="0"/>
          <w:sz w:val="22"/>
        </w:rPr>
        <w:t>つい</w:t>
      </w:r>
      <w:r w:rsidR="003C75AC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ては、</w:t>
      </w:r>
      <w:r w:rsidR="003C75AC" w:rsidRPr="00D10931">
        <w:rPr>
          <w:rFonts w:ascii="ＭＳ 明朝" w:eastAsia="ＭＳ 明朝" w:hAnsi="ＭＳ 明朝" w:cs="ＭＳ Ｐゴシック"/>
          <w:color w:val="0070C0"/>
          <w:kern w:val="0"/>
          <w:sz w:val="22"/>
        </w:rPr>
        <w:t>教科</w:t>
      </w:r>
      <w:r w:rsidR="003C75AC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毎の</w:t>
      </w:r>
      <w:r w:rsidR="003C75AC" w:rsidRPr="00D10931">
        <w:rPr>
          <w:rFonts w:ascii="ＭＳ 明朝" w:eastAsia="ＭＳ 明朝" w:hAnsi="ＭＳ 明朝" w:cs="ＭＳ Ｐゴシック"/>
          <w:color w:val="0070C0"/>
          <w:kern w:val="0"/>
          <w:sz w:val="22"/>
        </w:rPr>
        <w:t>情報を記載すること。</w:t>
      </w:r>
    </w:p>
    <w:p w14:paraId="0C97E26A" w14:textId="77777777" w:rsidR="008F547C" w:rsidRPr="00D10931" w:rsidRDefault="008F547C" w:rsidP="0065492C">
      <w:pPr>
        <w:widowControl/>
        <w:spacing w:line="300" w:lineRule="exact"/>
        <w:ind w:left="147" w:hangingChars="67" w:hanging="147"/>
        <w:jc w:val="left"/>
        <w:rPr>
          <w:rFonts w:asciiTheme="minorEastAsia" w:hAnsiTheme="minorEastAsia" w:cs="ＭＳ Ｐゴシック"/>
          <w:color w:val="0070C0"/>
          <w:kern w:val="0"/>
          <w:sz w:val="22"/>
        </w:rPr>
      </w:pPr>
      <w:r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※同一の測定ツール</w:t>
      </w:r>
      <w:r w:rsidR="00C710B9"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名</w:t>
      </w:r>
      <w:r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で複数レベルの難易度等の</w:t>
      </w:r>
      <w:r w:rsidR="00C710B9"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測定ツール</w:t>
      </w:r>
      <w:r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を提供</w:t>
      </w:r>
      <w:r w:rsidR="009F2E8A"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する</w:t>
      </w:r>
      <w:r w:rsidRPr="00D10931">
        <w:rPr>
          <w:rFonts w:asciiTheme="minorEastAsia" w:hAnsiTheme="minorEastAsia" w:cs="ＭＳ Ｐゴシック" w:hint="eastAsia"/>
          <w:color w:val="0070C0"/>
          <w:kern w:val="0"/>
          <w:sz w:val="22"/>
        </w:rPr>
        <w:t>場合は、当該難易度等の名称も記載すること。</w:t>
      </w:r>
    </w:p>
    <w:p w14:paraId="39D5B05C" w14:textId="77777777" w:rsidR="00F311C0" w:rsidRPr="00D10931" w:rsidRDefault="00F311C0" w:rsidP="0065492C">
      <w:pPr>
        <w:spacing w:line="300" w:lineRule="exact"/>
        <w:ind w:left="141" w:hangingChars="64" w:hanging="141"/>
        <w:rPr>
          <w:rFonts w:asciiTheme="minorEastAsia" w:hAnsiTheme="minorEastAsia" w:cs="ＭＳ Ｐゴシック"/>
          <w:color w:val="0070C0"/>
          <w:kern w:val="0"/>
          <w:sz w:val="22"/>
        </w:rPr>
      </w:pPr>
      <w:r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※（１）～（６）の事項について、</w:t>
      </w:r>
      <w:r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  <w:u w:val="single"/>
        </w:rPr>
        <w:t>情報の一部</w:t>
      </w:r>
      <w:r w:rsidR="0040339B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  <w:u w:val="single"/>
        </w:rPr>
        <w:t>又は</w:t>
      </w:r>
      <w:r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  <w:u w:val="single"/>
        </w:rPr>
        <w:t>全部を公表することが困難な場合は、公表が困難である</w:t>
      </w:r>
      <w:r w:rsidR="00BE7F89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  <w:u w:val="single"/>
        </w:rPr>
        <w:t>情報の内容</w:t>
      </w:r>
      <w:r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  <w:u w:val="single"/>
        </w:rPr>
        <w:t>及びその理由を記載すること。</w:t>
      </w:r>
      <w:r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なお、本</w:t>
      </w:r>
      <w:r w:rsidR="00950433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事業</w:t>
      </w:r>
      <w:r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概要報告書は、「高校生のための学びの基礎診断」</w:t>
      </w:r>
      <w:r w:rsidR="00950433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（以下「基礎診断」という。）</w:t>
      </w:r>
      <w:r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に認定された測定ツール（以下「認定ツール」という。）の実施状況・今後の方向性等を公表することにより、</w:t>
      </w:r>
      <w:r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  <w:u w:val="single"/>
        </w:rPr>
        <w:t>当該認定ツールの更なる発展、</w:t>
      </w:r>
      <w:r w:rsidR="000B6D63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  <w:u w:val="single"/>
        </w:rPr>
        <w:t>高校における</w:t>
      </w:r>
      <w:r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  <w:u w:val="single"/>
        </w:rPr>
        <w:t>学習改善・指導改善</w:t>
      </w:r>
      <w:r w:rsidR="000B6D63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  <w:u w:val="single"/>
        </w:rPr>
        <w:t>及びＰＤＣＡサイクルの</w:t>
      </w:r>
      <w:r w:rsidR="000C7ECB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  <w:u w:val="single"/>
        </w:rPr>
        <w:t>構築を促進し</w:t>
      </w:r>
      <w:r w:rsidR="000B6D63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  <w:u w:val="single"/>
        </w:rPr>
        <w:t>、</w:t>
      </w:r>
      <w:r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  <w:u w:val="single"/>
        </w:rPr>
        <w:t>ひいては基礎診断の制度全体の検証・改善に寄与することを目的としていることに鑑み、可能な限り</w:t>
      </w:r>
      <w:r w:rsidR="00EA1149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  <w:u w:val="single"/>
        </w:rPr>
        <w:t>具体的な内容</w:t>
      </w:r>
      <w:r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  <w:u w:val="single"/>
        </w:rPr>
        <w:t>を記載するよう努めること。</w:t>
      </w:r>
    </w:p>
    <w:p w14:paraId="55DB8792" w14:textId="77777777" w:rsidR="00AF589D" w:rsidRPr="004C4D9A" w:rsidRDefault="00AF589D" w:rsidP="0065492C">
      <w:pPr>
        <w:spacing w:line="300" w:lineRule="exact"/>
        <w:ind w:left="141" w:hangingChars="64" w:hanging="141"/>
        <w:rPr>
          <w:color w:val="000000" w:themeColor="text1"/>
          <w:sz w:val="22"/>
        </w:rPr>
      </w:pPr>
    </w:p>
    <w:p w14:paraId="61ECD72F" w14:textId="77777777" w:rsidR="001B0D11" w:rsidRPr="004C4D9A" w:rsidRDefault="001B0D11" w:rsidP="0065492C">
      <w:pPr>
        <w:widowControl/>
        <w:spacing w:line="300" w:lineRule="exact"/>
        <w:ind w:left="319" w:hangingChars="145" w:hanging="319"/>
        <w:jc w:val="left"/>
        <w:rPr>
          <w:rFonts w:asciiTheme="majorEastAsia" w:eastAsiaTheme="majorEastAsia" w:hAnsiTheme="majorEastAsia"/>
          <w:sz w:val="22"/>
        </w:rPr>
      </w:pPr>
      <w:r w:rsidRPr="004C4D9A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（１）</w:t>
      </w:r>
      <w:r w:rsidRPr="004C4D9A">
        <w:rPr>
          <w:rFonts w:asciiTheme="majorEastAsia" w:eastAsiaTheme="majorEastAsia" w:hAnsiTheme="majorEastAsia" w:hint="eastAsia"/>
          <w:sz w:val="22"/>
        </w:rPr>
        <w:t>実施校数・受検者数</w:t>
      </w:r>
    </w:p>
    <w:p w14:paraId="56081C89" w14:textId="77777777" w:rsidR="00F93C04" w:rsidRPr="00D10931" w:rsidRDefault="00F93C04" w:rsidP="0065492C">
      <w:pPr>
        <w:widowControl/>
        <w:spacing w:line="300" w:lineRule="exact"/>
        <w:ind w:left="319" w:hangingChars="145" w:hanging="319"/>
        <w:jc w:val="left"/>
        <w:rPr>
          <w:rFonts w:ascii="ＭＳ 明朝" w:eastAsia="ＭＳ 明朝" w:hAnsi="ＭＳ 明朝" w:cs="ＭＳ Ｐゴシック"/>
          <w:color w:val="0070C0"/>
          <w:kern w:val="0"/>
          <w:sz w:val="22"/>
        </w:rPr>
      </w:pPr>
      <w:r w:rsidRPr="004C4D9A">
        <w:rPr>
          <w:rFonts w:asciiTheme="majorEastAsia" w:eastAsiaTheme="majorEastAsia" w:hAnsiTheme="majorEastAsia" w:hint="eastAsia"/>
          <w:sz w:val="22"/>
        </w:rPr>
        <w:t xml:space="preserve">　</w:t>
      </w:r>
      <w:r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※実施校数・受検者数について、活用状況の傾向がわかるよう可能な限り</w:t>
      </w:r>
      <w:r w:rsidR="00EA1149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具体的な内容を記載すること</w:t>
      </w:r>
      <w:r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（学年別、受検月別、課程別（全日制、定時制、通信制）、学科別（普通科、専門学科、総合学科）</w:t>
      </w:r>
      <w:r w:rsidR="00F1204D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など</w:t>
      </w:r>
      <w:r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）。</w:t>
      </w:r>
    </w:p>
    <w:p w14:paraId="103B9448" w14:textId="31389925" w:rsidR="001D57AE" w:rsidRPr="004C4D9A" w:rsidRDefault="001D57AE" w:rsidP="0065492C">
      <w:pPr>
        <w:widowControl/>
        <w:spacing w:line="300" w:lineRule="exact"/>
        <w:ind w:leftChars="100" w:left="309" w:hangingChars="45" w:hanging="99"/>
        <w:jc w:val="left"/>
        <w:rPr>
          <w:rFonts w:ascii="ＭＳ 明朝" w:eastAsia="ＭＳ 明朝" w:hAnsi="ＭＳ 明朝" w:cs="ＭＳ Ｐゴシック"/>
          <w:color w:val="0070C0"/>
          <w:kern w:val="0"/>
          <w:sz w:val="22"/>
        </w:rPr>
      </w:pPr>
      <w:r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※認定</w:t>
      </w:r>
      <w:r w:rsidR="00FF4E8D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を受けた</w:t>
      </w:r>
      <w:r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年度の</w:t>
      </w:r>
      <w:r w:rsidR="0058447B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次</w:t>
      </w:r>
      <w:r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年度の事業概要報告書には、認定</w:t>
      </w:r>
      <w:r w:rsidR="00FF4E8D"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を受けた</w:t>
      </w:r>
      <w:r w:rsidRPr="00D10931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年度の翌年度の実施校数・受検者数に係る内容に加え、参</w:t>
      </w:r>
      <w:r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考として認定年度の実施校数・受検者数に係る内容についても記載すること。</w:t>
      </w:r>
      <w:r w:rsidR="00CA1400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（例：</w:t>
      </w:r>
      <w:r w:rsidR="0050792F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2024</w:t>
      </w:r>
      <w:r w:rsidR="00CA1400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年度に認定を受けた測定ツールについては、</w:t>
      </w:r>
      <w:r w:rsidR="0050792F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2025</w:t>
      </w:r>
      <w:r w:rsidR="00CA1400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年度事業概要報告書（実施期間：</w:t>
      </w:r>
      <w:r w:rsidR="0050792F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2025</w:t>
      </w:r>
      <w:r w:rsidR="00CA1400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年4月1日～</w:t>
      </w:r>
      <w:r w:rsidR="0050792F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2026</w:t>
      </w:r>
      <w:r w:rsidR="00CA1400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年3月31日）に</w:t>
      </w:r>
      <w:r w:rsidR="0050792F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2025</w:t>
      </w:r>
      <w:r w:rsidR="00CA1400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年度の実施校数・受検者数に係る内容に加え、参考として</w:t>
      </w:r>
      <w:r w:rsidR="0050792F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2024</w:t>
      </w:r>
      <w:r w:rsidR="00CA1400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年度の実施校数・受検者数に係る内容についても記載。）</w:t>
      </w:r>
    </w:p>
    <w:p w14:paraId="58B43FD5" w14:textId="77777777" w:rsidR="00F93C04" w:rsidRPr="004C4D9A" w:rsidRDefault="00F93C04" w:rsidP="0065492C">
      <w:pPr>
        <w:widowControl/>
        <w:spacing w:line="300" w:lineRule="exact"/>
        <w:ind w:left="319" w:hangingChars="145" w:hanging="319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14:paraId="1601B8A1" w14:textId="77777777" w:rsidR="001B0D11" w:rsidRPr="004C4D9A" w:rsidRDefault="001B0D11" w:rsidP="0065492C">
      <w:pPr>
        <w:spacing w:line="300" w:lineRule="exact"/>
        <w:ind w:left="319" w:hangingChars="145" w:hanging="319"/>
        <w:rPr>
          <w:rFonts w:asciiTheme="majorEastAsia" w:eastAsiaTheme="majorEastAsia" w:hAnsiTheme="majorEastAsia"/>
          <w:sz w:val="22"/>
        </w:rPr>
      </w:pPr>
      <w:r w:rsidRPr="004C4D9A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（２）</w:t>
      </w:r>
      <w:r w:rsidRPr="004C4D9A">
        <w:rPr>
          <w:rFonts w:asciiTheme="majorEastAsia" w:eastAsiaTheme="majorEastAsia" w:hAnsiTheme="majorEastAsia" w:hint="eastAsia"/>
          <w:sz w:val="22"/>
        </w:rPr>
        <w:t>試験実</w:t>
      </w:r>
      <w:r w:rsidR="00DA4585" w:rsidRPr="004C4D9A">
        <w:rPr>
          <w:rFonts w:asciiTheme="majorEastAsia" w:eastAsiaTheme="majorEastAsia" w:hAnsiTheme="majorEastAsia" w:hint="eastAsia"/>
          <w:sz w:val="22"/>
        </w:rPr>
        <w:t>施後の検証内容</w:t>
      </w:r>
      <w:r w:rsidR="00EA1149" w:rsidRPr="004C4D9A">
        <w:rPr>
          <w:rFonts w:asciiTheme="majorEastAsia" w:eastAsiaTheme="majorEastAsia" w:hAnsiTheme="majorEastAsia" w:hint="eastAsia"/>
          <w:sz w:val="22"/>
        </w:rPr>
        <w:t>（正答率や解答内容を踏まえたテスト仕様の検証など）</w:t>
      </w:r>
    </w:p>
    <w:p w14:paraId="5B14C1B1" w14:textId="77777777" w:rsidR="001B0D11" w:rsidRPr="004C4D9A" w:rsidRDefault="001B0D11" w:rsidP="0065492C">
      <w:pPr>
        <w:spacing w:line="300" w:lineRule="exact"/>
        <w:ind w:leftChars="100" w:left="309" w:hangingChars="45" w:hanging="99"/>
        <w:rPr>
          <w:rFonts w:asciiTheme="majorEastAsia" w:eastAsiaTheme="majorEastAsia" w:hAnsiTheme="majorEastAsia"/>
          <w:sz w:val="22"/>
        </w:rPr>
      </w:pPr>
      <w:r w:rsidRPr="004C4D9A">
        <w:rPr>
          <w:rFonts w:asciiTheme="majorEastAsia" w:eastAsiaTheme="majorEastAsia" w:hAnsiTheme="majorEastAsia" w:hint="eastAsia"/>
          <w:sz w:val="22"/>
        </w:rPr>
        <w:t>①具体的な検証方法</w:t>
      </w:r>
    </w:p>
    <w:p w14:paraId="46578EE6" w14:textId="77777777" w:rsidR="001B0D11" w:rsidRPr="004C4D9A" w:rsidRDefault="001B0D11" w:rsidP="0065492C">
      <w:pPr>
        <w:spacing w:line="300" w:lineRule="exact"/>
        <w:ind w:leftChars="98" w:left="281" w:hangingChars="34" w:hanging="75"/>
        <w:rPr>
          <w:rFonts w:asciiTheme="majorEastAsia" w:eastAsiaTheme="majorEastAsia" w:hAnsiTheme="majorEastAsia"/>
          <w:sz w:val="22"/>
        </w:rPr>
      </w:pPr>
      <w:r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※</w:t>
      </w:r>
      <w:r w:rsidR="00F1204D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試験実施後の</w:t>
      </w:r>
      <w:r w:rsidR="00EA1149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検証方法について、可能な限り具体的な内容</w:t>
      </w:r>
      <w:r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を記載すること</w:t>
      </w:r>
      <w:r w:rsidR="00F1204D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（作問委員会による事後検討、信頼性などの統計指標による検証、第三者による評価など）</w:t>
      </w:r>
      <w:r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。</w:t>
      </w:r>
    </w:p>
    <w:p w14:paraId="2811E11A" w14:textId="77777777" w:rsidR="001B0D11" w:rsidRPr="004C4D9A" w:rsidRDefault="001B0D11" w:rsidP="0065492C">
      <w:pPr>
        <w:spacing w:line="300" w:lineRule="exact"/>
        <w:ind w:leftChars="100" w:left="309" w:hangingChars="45" w:hanging="99"/>
        <w:rPr>
          <w:rFonts w:asciiTheme="majorEastAsia" w:eastAsiaTheme="majorEastAsia" w:hAnsiTheme="majorEastAsia"/>
          <w:sz w:val="22"/>
        </w:rPr>
      </w:pPr>
    </w:p>
    <w:p w14:paraId="50F56A3A" w14:textId="77777777" w:rsidR="001B0D11" w:rsidRPr="004C4D9A" w:rsidRDefault="001B0D11" w:rsidP="0065492C">
      <w:pPr>
        <w:spacing w:line="300" w:lineRule="exact"/>
        <w:ind w:leftChars="100" w:left="210"/>
        <w:rPr>
          <w:rFonts w:asciiTheme="majorEastAsia" w:eastAsiaTheme="majorEastAsia" w:hAnsiTheme="majorEastAsia"/>
          <w:sz w:val="22"/>
        </w:rPr>
      </w:pPr>
      <w:r w:rsidRPr="004C4D9A">
        <w:rPr>
          <w:rFonts w:asciiTheme="majorEastAsia" w:eastAsiaTheme="majorEastAsia" w:hAnsiTheme="majorEastAsia" w:hint="eastAsia"/>
          <w:sz w:val="22"/>
        </w:rPr>
        <w:t>②具体的な検証項目・内容</w:t>
      </w:r>
    </w:p>
    <w:p w14:paraId="71F90D5B" w14:textId="77777777" w:rsidR="001B0D11" w:rsidRPr="004C4D9A" w:rsidRDefault="001B0D11" w:rsidP="0065492C">
      <w:pPr>
        <w:spacing w:line="300" w:lineRule="exact"/>
        <w:ind w:leftChars="100" w:left="309" w:hangingChars="45" w:hanging="99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※</w:t>
      </w:r>
      <w:r w:rsidR="00F1204D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試験実施後の検証項目・内容</w:t>
      </w:r>
      <w:r w:rsidR="00EA1149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について、可能な限り具体的な内容を</w:t>
      </w:r>
      <w:r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記載すること</w:t>
      </w:r>
      <w:r w:rsidR="00F1204D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（問題内容、測定手段、採点基準など）</w:t>
      </w:r>
      <w:r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。</w:t>
      </w:r>
    </w:p>
    <w:p w14:paraId="7A82578A" w14:textId="77777777" w:rsidR="001B0D11" w:rsidRPr="004C4D9A" w:rsidRDefault="001B0D11" w:rsidP="0065492C">
      <w:pPr>
        <w:spacing w:line="300" w:lineRule="exact"/>
        <w:ind w:left="319" w:hangingChars="145" w:hanging="319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14:paraId="75653028" w14:textId="77777777" w:rsidR="001B0D11" w:rsidRPr="004C4D9A" w:rsidRDefault="001B0D11" w:rsidP="0065492C">
      <w:pPr>
        <w:spacing w:line="300" w:lineRule="exact"/>
        <w:ind w:left="319" w:hangingChars="145" w:hanging="319"/>
        <w:rPr>
          <w:rFonts w:asciiTheme="majorEastAsia" w:eastAsiaTheme="majorEastAsia" w:hAnsiTheme="majorEastAsia"/>
          <w:sz w:val="22"/>
        </w:rPr>
      </w:pPr>
      <w:r w:rsidRPr="004C4D9A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（３）</w:t>
      </w:r>
      <w:r w:rsidRPr="004C4D9A">
        <w:rPr>
          <w:rFonts w:asciiTheme="majorEastAsia" w:eastAsiaTheme="majorEastAsia" w:hAnsiTheme="majorEastAsia" w:hint="eastAsia"/>
          <w:sz w:val="22"/>
        </w:rPr>
        <w:t>今後の改良の方向性</w:t>
      </w:r>
    </w:p>
    <w:p w14:paraId="45F56571" w14:textId="77777777" w:rsidR="001B0D11" w:rsidRPr="004C4D9A" w:rsidRDefault="001B0D11" w:rsidP="0065492C">
      <w:pPr>
        <w:spacing w:line="300" w:lineRule="exact"/>
        <w:ind w:leftChars="100" w:left="309" w:hangingChars="45" w:hanging="99"/>
        <w:rPr>
          <w:rFonts w:asciiTheme="majorEastAsia" w:eastAsiaTheme="majorEastAsia" w:hAnsiTheme="majorEastAsia"/>
          <w:sz w:val="22"/>
        </w:rPr>
      </w:pPr>
      <w:r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※</w:t>
      </w:r>
      <w:r w:rsidR="00E57A57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上記検</w:t>
      </w:r>
      <w:r w:rsidR="00F1204D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証</w:t>
      </w:r>
      <w:r w:rsidR="00AD5790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結果</w:t>
      </w:r>
      <w:r w:rsidR="00F1204D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や利用者の状況</w:t>
      </w:r>
      <w:r w:rsidR="00E57A57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、審査会の指摘事項を踏まえた改良方針について</w:t>
      </w:r>
      <w:r w:rsidR="00F1204D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可能な限り具体的な内容を</w:t>
      </w:r>
      <w:r w:rsidR="00E57A57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記載すること。なお、</w:t>
      </w:r>
      <w:r w:rsidR="00E80E9D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利用者の状況を把握す</w:t>
      </w:r>
      <w:r w:rsidR="00EA1149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る具体的な方法</w:t>
      </w:r>
      <w:r w:rsidR="00F1204D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（アンケート、</w:t>
      </w:r>
      <w:r w:rsidR="0054444C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口頭での意見聴取</w:t>
      </w:r>
      <w:r w:rsidR="00F1204D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など）</w:t>
      </w:r>
      <w:r w:rsidR="00EA1149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についてもあわせて</w:t>
      </w:r>
      <w:r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記載すること。</w:t>
      </w:r>
    </w:p>
    <w:p w14:paraId="72418414" w14:textId="77777777" w:rsidR="001B0D11" w:rsidRPr="004C4D9A" w:rsidRDefault="001B0D11" w:rsidP="0065492C">
      <w:pPr>
        <w:spacing w:line="300" w:lineRule="exact"/>
        <w:ind w:left="319" w:hangingChars="145" w:hanging="319"/>
        <w:rPr>
          <w:rFonts w:asciiTheme="majorEastAsia" w:eastAsiaTheme="majorEastAsia" w:hAnsiTheme="majorEastAsia"/>
          <w:sz w:val="22"/>
        </w:rPr>
      </w:pPr>
    </w:p>
    <w:p w14:paraId="5674DFE9" w14:textId="77777777" w:rsidR="001B0D11" w:rsidRPr="004C4D9A" w:rsidRDefault="001B0D11" w:rsidP="0065492C">
      <w:pPr>
        <w:spacing w:line="300" w:lineRule="exact"/>
        <w:ind w:left="319" w:hangingChars="145" w:hanging="319"/>
        <w:rPr>
          <w:rFonts w:asciiTheme="majorEastAsia" w:eastAsiaTheme="majorEastAsia" w:hAnsiTheme="majorEastAsia"/>
          <w:sz w:val="22"/>
        </w:rPr>
      </w:pPr>
      <w:r w:rsidRPr="004C4D9A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lastRenderedPageBreak/>
        <w:t>（４）</w:t>
      </w:r>
      <w:r w:rsidRPr="004C4D9A">
        <w:rPr>
          <w:rFonts w:asciiTheme="majorEastAsia" w:eastAsiaTheme="majorEastAsia" w:hAnsiTheme="majorEastAsia" w:hint="eastAsia"/>
          <w:sz w:val="22"/>
        </w:rPr>
        <w:t>（PBTのみでの実施の場合）CBTでの実施に向けた展望・検討状況</w:t>
      </w:r>
    </w:p>
    <w:p w14:paraId="5CBED62B" w14:textId="77777777" w:rsidR="001B0D11" w:rsidRPr="004C4D9A" w:rsidRDefault="001B0D11" w:rsidP="0065492C">
      <w:pPr>
        <w:spacing w:line="300" w:lineRule="exact"/>
        <w:ind w:leftChars="100" w:left="309" w:hangingChars="45" w:hanging="99"/>
        <w:rPr>
          <w:rFonts w:ascii="ＭＳ 明朝" w:eastAsia="ＭＳ 明朝" w:hAnsi="ＭＳ 明朝" w:cs="ＭＳ Ｐゴシック"/>
          <w:color w:val="0070C0"/>
          <w:kern w:val="0"/>
          <w:sz w:val="22"/>
        </w:rPr>
      </w:pPr>
      <w:r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※</w:t>
      </w:r>
      <w:r w:rsidR="00F1204D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CBTでの実施に向けた展望・検討状況について、可能な限り具体的な内容を記載すること。</w:t>
      </w:r>
    </w:p>
    <w:p w14:paraId="202B1860" w14:textId="77777777" w:rsidR="001B0D11" w:rsidRPr="004C4D9A" w:rsidRDefault="001B0D11" w:rsidP="0065492C">
      <w:pPr>
        <w:spacing w:line="300" w:lineRule="exact"/>
        <w:ind w:left="319" w:hangingChars="145" w:hanging="319"/>
        <w:rPr>
          <w:rFonts w:asciiTheme="majorEastAsia" w:eastAsiaTheme="majorEastAsia" w:hAnsiTheme="majorEastAsia"/>
          <w:sz w:val="22"/>
        </w:rPr>
      </w:pPr>
    </w:p>
    <w:p w14:paraId="3052CBCE" w14:textId="77777777" w:rsidR="001B0D11" w:rsidRPr="004C4D9A" w:rsidRDefault="001B0D11" w:rsidP="0065492C">
      <w:pPr>
        <w:spacing w:line="300" w:lineRule="exact"/>
        <w:ind w:left="319" w:hangingChars="145" w:hanging="319"/>
        <w:rPr>
          <w:rFonts w:asciiTheme="majorEastAsia" w:eastAsiaTheme="majorEastAsia" w:hAnsiTheme="majorEastAsia"/>
          <w:sz w:val="22"/>
        </w:rPr>
      </w:pPr>
      <w:r w:rsidRPr="004C4D9A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（５）</w:t>
      </w:r>
      <w:r w:rsidRPr="004C4D9A">
        <w:rPr>
          <w:rFonts w:asciiTheme="majorEastAsia" w:eastAsiaTheme="majorEastAsia" w:hAnsiTheme="majorEastAsia" w:hint="eastAsia"/>
          <w:sz w:val="22"/>
        </w:rPr>
        <w:t>（IRT（</w:t>
      </w:r>
      <w:r w:rsidRPr="004C4D9A">
        <w:rPr>
          <w:rFonts w:asciiTheme="majorEastAsia" w:eastAsiaTheme="majorEastAsia" w:hAnsiTheme="majorEastAsia"/>
          <w:sz w:val="22"/>
        </w:rPr>
        <w:t>Item Response Theory</w:t>
      </w:r>
      <w:r w:rsidRPr="004C4D9A">
        <w:rPr>
          <w:rFonts w:asciiTheme="majorEastAsia" w:eastAsiaTheme="majorEastAsia" w:hAnsiTheme="majorEastAsia" w:hint="eastAsia"/>
          <w:sz w:val="22"/>
        </w:rPr>
        <w:t>）を導入していない場合）IRT導入に向けた展望・検討状況</w:t>
      </w:r>
    </w:p>
    <w:p w14:paraId="736168C3" w14:textId="77777777" w:rsidR="001B0D11" w:rsidRPr="004C4D9A" w:rsidRDefault="001B0D11" w:rsidP="0065492C">
      <w:pPr>
        <w:spacing w:line="300" w:lineRule="exact"/>
        <w:ind w:leftChars="100" w:left="309" w:hangingChars="45" w:hanging="99"/>
        <w:rPr>
          <w:rFonts w:asciiTheme="majorEastAsia" w:eastAsiaTheme="majorEastAsia" w:hAnsiTheme="majorEastAsia"/>
          <w:sz w:val="22"/>
        </w:rPr>
      </w:pPr>
      <w:r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※</w:t>
      </w:r>
      <w:r w:rsidR="00F1204D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IRT導入に向けた展望・検討状況について、可能な限り具体的な内容</w:t>
      </w:r>
      <w:r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を記載すること。</w:t>
      </w:r>
    </w:p>
    <w:p w14:paraId="7AFCF341" w14:textId="77777777" w:rsidR="001B0D11" w:rsidRPr="004C4D9A" w:rsidRDefault="001B0D11" w:rsidP="0065492C">
      <w:pPr>
        <w:spacing w:line="300" w:lineRule="exact"/>
        <w:ind w:left="319" w:hangingChars="145" w:hanging="319"/>
        <w:rPr>
          <w:rFonts w:asciiTheme="majorEastAsia" w:eastAsiaTheme="majorEastAsia" w:hAnsiTheme="majorEastAsia"/>
          <w:sz w:val="22"/>
        </w:rPr>
      </w:pPr>
    </w:p>
    <w:p w14:paraId="550CEC8A" w14:textId="77777777" w:rsidR="001B0D11" w:rsidRPr="004C4D9A" w:rsidRDefault="001B0D11" w:rsidP="0065492C">
      <w:pPr>
        <w:spacing w:line="300" w:lineRule="exact"/>
        <w:ind w:left="319" w:hangingChars="145" w:hanging="319"/>
        <w:rPr>
          <w:rFonts w:asciiTheme="majorEastAsia" w:eastAsiaTheme="majorEastAsia" w:hAnsiTheme="majorEastAsia"/>
          <w:sz w:val="22"/>
        </w:rPr>
      </w:pPr>
      <w:r w:rsidRPr="004C4D9A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（６）</w:t>
      </w:r>
      <w:r w:rsidRPr="004C4D9A">
        <w:rPr>
          <w:rFonts w:asciiTheme="majorEastAsia" w:eastAsiaTheme="majorEastAsia" w:hAnsiTheme="majorEastAsia" w:hint="eastAsia"/>
          <w:sz w:val="22"/>
        </w:rPr>
        <w:t>（</w:t>
      </w:r>
      <w:r w:rsidR="009A7CBF" w:rsidRPr="004C4D9A">
        <w:rPr>
          <w:rFonts w:asciiTheme="majorEastAsia" w:eastAsiaTheme="majorEastAsia" w:hAnsiTheme="majorEastAsia" w:hint="eastAsia"/>
          <w:sz w:val="22"/>
        </w:rPr>
        <w:t>適応型テスト</w:t>
      </w:r>
      <w:r w:rsidRPr="004C4D9A">
        <w:rPr>
          <w:rFonts w:asciiTheme="majorEastAsia" w:eastAsiaTheme="majorEastAsia" w:hAnsiTheme="majorEastAsia" w:hint="eastAsia"/>
          <w:sz w:val="22"/>
        </w:rPr>
        <w:t>を導入していない場合）</w:t>
      </w:r>
      <w:r w:rsidR="001B7B03" w:rsidRPr="004C4D9A">
        <w:rPr>
          <w:rFonts w:asciiTheme="majorEastAsia" w:eastAsiaTheme="majorEastAsia" w:hAnsiTheme="majorEastAsia" w:hint="eastAsia"/>
          <w:sz w:val="22"/>
        </w:rPr>
        <w:t>適応型テスト</w:t>
      </w:r>
      <w:r w:rsidRPr="004C4D9A">
        <w:rPr>
          <w:rFonts w:asciiTheme="majorEastAsia" w:eastAsiaTheme="majorEastAsia" w:hAnsiTheme="majorEastAsia" w:hint="eastAsia"/>
          <w:sz w:val="22"/>
        </w:rPr>
        <w:t>導入に向けた展望・検討状況</w:t>
      </w:r>
    </w:p>
    <w:p w14:paraId="6BDB4192" w14:textId="77777777" w:rsidR="001B0D11" w:rsidRPr="004C4D9A" w:rsidRDefault="001B0D11" w:rsidP="0065492C">
      <w:pPr>
        <w:spacing w:line="300" w:lineRule="exact"/>
        <w:ind w:leftChars="100" w:left="309" w:hangingChars="45" w:hanging="99"/>
        <w:rPr>
          <w:rFonts w:ascii="ＭＳ 明朝" w:eastAsia="ＭＳ 明朝" w:hAnsi="ＭＳ 明朝" w:cs="ＭＳ Ｐゴシック"/>
          <w:color w:val="0070C0"/>
          <w:kern w:val="0"/>
          <w:sz w:val="22"/>
        </w:rPr>
      </w:pPr>
      <w:r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※</w:t>
      </w:r>
      <w:r w:rsidR="009A7CBF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適応型テスト</w:t>
      </w:r>
      <w:r w:rsidR="00F1204D"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導入に向けた展望・検討状況について、可能な限り具体的な内容</w:t>
      </w:r>
      <w:r w:rsidRPr="004C4D9A">
        <w:rPr>
          <w:rFonts w:ascii="ＭＳ 明朝" w:eastAsia="ＭＳ 明朝" w:hAnsi="ＭＳ 明朝" w:cs="ＭＳ Ｐゴシック" w:hint="eastAsia"/>
          <w:color w:val="0070C0"/>
          <w:kern w:val="0"/>
          <w:sz w:val="22"/>
        </w:rPr>
        <w:t>を記載すること。</w:t>
      </w:r>
    </w:p>
    <w:p w14:paraId="556F7D44" w14:textId="77777777" w:rsidR="00F93C04" w:rsidRPr="004C4D9A" w:rsidRDefault="00F93C04" w:rsidP="0065492C">
      <w:pPr>
        <w:spacing w:line="300" w:lineRule="exact"/>
        <w:ind w:leftChars="100" w:left="309" w:hangingChars="45" w:hanging="99"/>
        <w:rPr>
          <w:rFonts w:ascii="ＭＳ 明朝" w:eastAsia="ＭＳ 明朝" w:hAnsi="ＭＳ 明朝" w:cs="ＭＳ Ｐゴシック"/>
          <w:color w:val="0070C0"/>
          <w:kern w:val="0"/>
          <w:sz w:val="22"/>
        </w:rPr>
      </w:pPr>
    </w:p>
    <w:p w14:paraId="31258407" w14:textId="77777777" w:rsidR="00F93C04" w:rsidRPr="00774335" w:rsidRDefault="00E57A57" w:rsidP="0065492C">
      <w:pPr>
        <w:spacing w:line="300" w:lineRule="exac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4C4D9A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（７</w:t>
      </w:r>
      <w:r w:rsidR="00F93C04" w:rsidRPr="004C4D9A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）その他特記事項</w:t>
      </w:r>
    </w:p>
    <w:sectPr w:rsidR="00F93C04" w:rsidRPr="00774335" w:rsidSect="0065492C">
      <w:headerReference w:type="even" r:id="rId8"/>
      <w:headerReference w:type="first" r:id="rId9"/>
      <w:footerReference w:type="first" r:id="rId10"/>
      <w:pgSz w:w="11906" w:h="16838"/>
      <w:pgMar w:top="1134" w:right="1134" w:bottom="1134" w:left="1134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A8EFB" w14:textId="77777777" w:rsidR="00295165" w:rsidRDefault="00295165" w:rsidP="00FD56E5">
      <w:r>
        <w:separator/>
      </w:r>
    </w:p>
  </w:endnote>
  <w:endnote w:type="continuationSeparator" w:id="0">
    <w:p w14:paraId="798B73D7" w14:textId="77777777" w:rsidR="00295165" w:rsidRDefault="00295165" w:rsidP="00FD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BCCB1" w14:textId="77777777" w:rsidR="00CA1400" w:rsidRDefault="00CA1400" w:rsidP="001709CD">
    <w:pPr>
      <w:pStyle w:val="a7"/>
    </w:pPr>
  </w:p>
  <w:p w14:paraId="5B386E80" w14:textId="77777777" w:rsidR="00CA1400" w:rsidRDefault="00CA14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4E003" w14:textId="77777777" w:rsidR="00295165" w:rsidRDefault="00295165" w:rsidP="00FD56E5">
      <w:r>
        <w:separator/>
      </w:r>
    </w:p>
  </w:footnote>
  <w:footnote w:type="continuationSeparator" w:id="0">
    <w:p w14:paraId="553C4C1B" w14:textId="77777777" w:rsidR="00295165" w:rsidRDefault="00295165" w:rsidP="00FD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47320" w14:textId="77777777" w:rsidR="006D46D2" w:rsidRDefault="00F0784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68AEC366" wp14:editId="138B06E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84365" cy="1745615"/>
              <wp:effectExtent l="0" t="1695450" r="0" b="1721485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84365" cy="1745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5C15C" w14:textId="77777777" w:rsidR="00F0784C" w:rsidRDefault="00F0784C" w:rsidP="00F0784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明朝" w:eastAsia="ＭＳ 明朝" w:hAnsi="ＭＳ 明朝" w:hint="eastAsia"/>
                              <w:color w:val="A6A6A6" w:themeColor="background1" w:themeShade="A6"/>
                              <w:sz w:val="2"/>
                              <w:szCs w:val="2"/>
                            </w:rPr>
                            <w:t>サンプル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EC366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0;margin-top:0;width:549.95pt;height:137.45pt;rotation:-45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795C15C" w14:textId="77777777" w:rsidR="00F0784C" w:rsidRDefault="00F0784C" w:rsidP="00F0784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ＭＳ 明朝" w:eastAsia="ＭＳ 明朝" w:hAnsi="ＭＳ 明朝" w:hint="eastAsia"/>
                        <w:color w:val="A6A6A6" w:themeColor="background1" w:themeShade="A6"/>
                        <w:sz w:val="2"/>
                        <w:szCs w:val="2"/>
                      </w:rPr>
                      <w:t>サンプル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BEA51" w14:textId="77777777" w:rsidR="00DA4585" w:rsidRPr="00DA4585" w:rsidRDefault="00DA4585" w:rsidP="00DA4585">
    <w:pPr>
      <w:pStyle w:val="a5"/>
    </w:pPr>
    <w:r>
      <w:rPr>
        <w:rFonts w:hint="eastAsia"/>
      </w:rPr>
      <w:t>（</w:t>
    </w:r>
    <w:r>
      <w:rPr>
        <w:rFonts w:hint="eastAsia"/>
      </w:rPr>
      <w:t>様式</w:t>
    </w:r>
    <w:r w:rsidR="003E0C47">
      <w:rPr>
        <w:rFonts w:hint="eastAsia"/>
      </w:rPr>
      <w:t>６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D13BD"/>
    <w:multiLevelType w:val="hybridMultilevel"/>
    <w:tmpl w:val="56CEB214"/>
    <w:lvl w:ilvl="0" w:tplc="DBA6F602">
      <w:start w:val="1"/>
      <w:numFmt w:val="decimal"/>
      <w:lvlText w:val="(%1)"/>
      <w:lvlJc w:val="left"/>
      <w:pPr>
        <w:ind w:left="83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64B42C8B"/>
    <w:multiLevelType w:val="hybridMultilevel"/>
    <w:tmpl w:val="D2942D5C"/>
    <w:lvl w:ilvl="0" w:tplc="90AED0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7DE0380"/>
    <w:multiLevelType w:val="hybridMultilevel"/>
    <w:tmpl w:val="E23255A6"/>
    <w:lvl w:ilvl="0" w:tplc="A5C28F16">
      <w:start w:val="1"/>
      <w:numFmt w:val="iroha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 w15:restartNumberingAfterBreak="0">
    <w:nsid w:val="6AA63198"/>
    <w:multiLevelType w:val="hybridMultilevel"/>
    <w:tmpl w:val="C2DE64A0"/>
    <w:lvl w:ilvl="0" w:tplc="98B041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AE519C"/>
    <w:multiLevelType w:val="hybridMultilevel"/>
    <w:tmpl w:val="C7FED3E8"/>
    <w:lvl w:ilvl="0" w:tplc="95A46284">
      <w:start w:val="1"/>
      <w:numFmt w:val="iroha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3284795">
    <w:abstractNumId w:val="0"/>
  </w:num>
  <w:num w:numId="2" w16cid:durableId="463695521">
    <w:abstractNumId w:val="4"/>
  </w:num>
  <w:num w:numId="3" w16cid:durableId="390272198">
    <w:abstractNumId w:val="3"/>
  </w:num>
  <w:num w:numId="4" w16cid:durableId="363091872">
    <w:abstractNumId w:val="1"/>
  </w:num>
  <w:num w:numId="5" w16cid:durableId="1206331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FC"/>
    <w:rsid w:val="000154FC"/>
    <w:rsid w:val="000B0926"/>
    <w:rsid w:val="000B6D63"/>
    <w:rsid w:val="000B7DDE"/>
    <w:rsid w:val="000C7ECB"/>
    <w:rsid w:val="000E017F"/>
    <w:rsid w:val="00116EB1"/>
    <w:rsid w:val="00134543"/>
    <w:rsid w:val="00154D92"/>
    <w:rsid w:val="00156094"/>
    <w:rsid w:val="001709CD"/>
    <w:rsid w:val="0018615B"/>
    <w:rsid w:val="0019506A"/>
    <w:rsid w:val="001B0D11"/>
    <w:rsid w:val="001B7B03"/>
    <w:rsid w:val="001D57AE"/>
    <w:rsid w:val="00242493"/>
    <w:rsid w:val="0029463E"/>
    <w:rsid w:val="00295165"/>
    <w:rsid w:val="002C65BF"/>
    <w:rsid w:val="002E57D6"/>
    <w:rsid w:val="002F022F"/>
    <w:rsid w:val="002F5A92"/>
    <w:rsid w:val="00300F68"/>
    <w:rsid w:val="00316AD8"/>
    <w:rsid w:val="003700DC"/>
    <w:rsid w:val="003A1E35"/>
    <w:rsid w:val="003C5E86"/>
    <w:rsid w:val="003C75AC"/>
    <w:rsid w:val="003E0C47"/>
    <w:rsid w:val="003F7DB8"/>
    <w:rsid w:val="0040339B"/>
    <w:rsid w:val="0041744B"/>
    <w:rsid w:val="00490892"/>
    <w:rsid w:val="00491591"/>
    <w:rsid w:val="004B1B08"/>
    <w:rsid w:val="004C4D9A"/>
    <w:rsid w:val="0050792F"/>
    <w:rsid w:val="0054444C"/>
    <w:rsid w:val="00561CB4"/>
    <w:rsid w:val="0058447B"/>
    <w:rsid w:val="005E25D4"/>
    <w:rsid w:val="005E6495"/>
    <w:rsid w:val="00615A29"/>
    <w:rsid w:val="0065492C"/>
    <w:rsid w:val="00681292"/>
    <w:rsid w:val="00683370"/>
    <w:rsid w:val="006841C1"/>
    <w:rsid w:val="006C42CD"/>
    <w:rsid w:val="006C456F"/>
    <w:rsid w:val="006C5EC6"/>
    <w:rsid w:val="006D46D2"/>
    <w:rsid w:val="006E2535"/>
    <w:rsid w:val="006F5C73"/>
    <w:rsid w:val="00721FA5"/>
    <w:rsid w:val="00763F53"/>
    <w:rsid w:val="00772629"/>
    <w:rsid w:val="00774335"/>
    <w:rsid w:val="007845BA"/>
    <w:rsid w:val="00792961"/>
    <w:rsid w:val="007E3E8D"/>
    <w:rsid w:val="007F0364"/>
    <w:rsid w:val="00806309"/>
    <w:rsid w:val="00820187"/>
    <w:rsid w:val="00844646"/>
    <w:rsid w:val="00874105"/>
    <w:rsid w:val="00890A25"/>
    <w:rsid w:val="008A3E00"/>
    <w:rsid w:val="008C19F2"/>
    <w:rsid w:val="008F547C"/>
    <w:rsid w:val="00914228"/>
    <w:rsid w:val="00930A95"/>
    <w:rsid w:val="00931486"/>
    <w:rsid w:val="00950433"/>
    <w:rsid w:val="00960B8A"/>
    <w:rsid w:val="009718F8"/>
    <w:rsid w:val="00972465"/>
    <w:rsid w:val="009A5AC9"/>
    <w:rsid w:val="009A7CBF"/>
    <w:rsid w:val="009C6959"/>
    <w:rsid w:val="009E340F"/>
    <w:rsid w:val="009F2E8A"/>
    <w:rsid w:val="00A06D77"/>
    <w:rsid w:val="00A171D2"/>
    <w:rsid w:val="00A47B16"/>
    <w:rsid w:val="00AC76DB"/>
    <w:rsid w:val="00AD5790"/>
    <w:rsid w:val="00AE6EEE"/>
    <w:rsid w:val="00AF589D"/>
    <w:rsid w:val="00B04028"/>
    <w:rsid w:val="00B208E1"/>
    <w:rsid w:val="00B327F4"/>
    <w:rsid w:val="00B66194"/>
    <w:rsid w:val="00B66DB3"/>
    <w:rsid w:val="00B92F75"/>
    <w:rsid w:val="00BA2C40"/>
    <w:rsid w:val="00BA5167"/>
    <w:rsid w:val="00BB5F23"/>
    <w:rsid w:val="00BC120B"/>
    <w:rsid w:val="00BE48DF"/>
    <w:rsid w:val="00BE7F89"/>
    <w:rsid w:val="00C23146"/>
    <w:rsid w:val="00C457B6"/>
    <w:rsid w:val="00C55AC8"/>
    <w:rsid w:val="00C55FFC"/>
    <w:rsid w:val="00C70074"/>
    <w:rsid w:val="00C710B9"/>
    <w:rsid w:val="00C718D1"/>
    <w:rsid w:val="00C86046"/>
    <w:rsid w:val="00CA1400"/>
    <w:rsid w:val="00CC3A05"/>
    <w:rsid w:val="00CE62A7"/>
    <w:rsid w:val="00CF7027"/>
    <w:rsid w:val="00D07622"/>
    <w:rsid w:val="00D107CD"/>
    <w:rsid w:val="00D10931"/>
    <w:rsid w:val="00D113FF"/>
    <w:rsid w:val="00D339D7"/>
    <w:rsid w:val="00DA4585"/>
    <w:rsid w:val="00DF270F"/>
    <w:rsid w:val="00E30180"/>
    <w:rsid w:val="00E4576B"/>
    <w:rsid w:val="00E57A57"/>
    <w:rsid w:val="00E80E9D"/>
    <w:rsid w:val="00EA1149"/>
    <w:rsid w:val="00EF34DC"/>
    <w:rsid w:val="00F0784C"/>
    <w:rsid w:val="00F1204D"/>
    <w:rsid w:val="00F14054"/>
    <w:rsid w:val="00F311C0"/>
    <w:rsid w:val="00F61CD1"/>
    <w:rsid w:val="00F627AD"/>
    <w:rsid w:val="00F8605D"/>
    <w:rsid w:val="00F93C04"/>
    <w:rsid w:val="00FA3D04"/>
    <w:rsid w:val="00FC5864"/>
    <w:rsid w:val="00FC7AB1"/>
    <w:rsid w:val="00FD558E"/>
    <w:rsid w:val="00FD56E5"/>
    <w:rsid w:val="00FE1FA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31A7B"/>
  <w15:chartTrackingRefBased/>
  <w15:docId w15:val="{A737FADC-C570-4130-B5D6-A5112EE7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FA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5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6E5"/>
  </w:style>
  <w:style w:type="paragraph" w:styleId="a7">
    <w:name w:val="footer"/>
    <w:basedOn w:val="a"/>
    <w:link w:val="a8"/>
    <w:uiPriority w:val="99"/>
    <w:unhideWhenUsed/>
    <w:rsid w:val="00FD5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6E5"/>
  </w:style>
  <w:style w:type="paragraph" w:styleId="a9">
    <w:name w:val="Balloon Text"/>
    <w:basedOn w:val="a"/>
    <w:link w:val="aa"/>
    <w:uiPriority w:val="99"/>
    <w:semiHidden/>
    <w:unhideWhenUsed/>
    <w:rsid w:val="00B04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402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78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50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8353-48F9-41F5-AA5C-3522536E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2018-02-28T16:10:00Z</cp:lastPrinted>
  <dcterms:created xsi:type="dcterms:W3CDTF">2018-03-03T07:57:00Z</dcterms:created>
  <dcterms:modified xsi:type="dcterms:W3CDTF">2024-06-26T08:53:00Z</dcterms:modified>
</cp:coreProperties>
</file>