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049EFB2" w14:textId="573244B4" w:rsidR="00274D56" w:rsidRPr="00AB0877" w:rsidRDefault="00A77B8A" w:rsidP="00274D56">
      <w:pPr>
        <w:ind w:left="210" w:hanging="210"/>
        <w:jc w:val="center"/>
        <w:rPr>
          <w:rFonts w:ascii="ＤＦ特太ゴシック体" w:eastAsia="ＤＦ特太ゴシック体" w:hAnsi="ＤＦ特太ゴシック体"/>
          <w:sz w:val="28"/>
        </w:rPr>
      </w:pPr>
      <w:r w:rsidRPr="00FF664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241FF352" wp14:editId="6FB251C5">
                <wp:simplePos x="0" y="0"/>
                <wp:positionH relativeFrom="column">
                  <wp:posOffset>12601575</wp:posOffset>
                </wp:positionH>
                <wp:positionV relativeFrom="page">
                  <wp:posOffset>720090</wp:posOffset>
                </wp:positionV>
                <wp:extent cx="1079640" cy="287640"/>
                <wp:effectExtent l="0" t="0" r="25400"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640" cy="287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BD0A1" w14:textId="77777777" w:rsidR="00E61759" w:rsidRPr="00810FE4" w:rsidRDefault="00E61759" w:rsidP="00E61759">
                            <w:pPr>
                              <w:snapToGrid w:val="0"/>
                              <w:ind w:left="20" w:hanging="20"/>
                              <w:jc w:val="center"/>
                              <w:rPr>
                                <w:rFonts w:ascii="ＭＳ ゴシック" w:eastAsia="ＭＳ ゴシック" w:hAnsi="ＭＳ ゴシック"/>
                                <w:sz w:val="2"/>
                                <w:szCs w:val="4"/>
                              </w:rPr>
                            </w:pPr>
                          </w:p>
                          <w:p w14:paraId="3F3F750C" w14:textId="5479A538" w:rsidR="00E61759" w:rsidRPr="00810FE4" w:rsidRDefault="00A77B8A" w:rsidP="00E61759">
                            <w:pPr>
                              <w:snapToGrid w:val="0"/>
                              <w:ind w:left="240" w:hanging="240"/>
                              <w:jc w:val="center"/>
                              <w:rPr>
                                <w:rFonts w:ascii="ＭＳ ゴシック" w:eastAsia="SimSun" w:hAnsi="ＭＳ ゴシック"/>
                                <w:spacing w:val="2"/>
                                <w:sz w:val="24"/>
                                <w:szCs w:val="32"/>
                                <w:lang w:eastAsia="zh-CN"/>
                              </w:rPr>
                            </w:pPr>
                            <w:r w:rsidRPr="00810FE4">
                              <w:rPr>
                                <w:rFonts w:ascii="ＭＳ ゴシック" w:eastAsia="ＭＳ ゴシック" w:hAnsi="ＭＳ ゴシック" w:hint="eastAsia"/>
                                <w:sz w:val="24"/>
                                <w:szCs w:val="32"/>
                              </w:rPr>
                              <w:t>別紙</w:t>
                            </w:r>
                            <w:r w:rsidR="0070591B" w:rsidRPr="00810FE4">
                              <w:rPr>
                                <w:rFonts w:ascii="ＭＳ ゴシック" w:eastAsia="ＭＳ ゴシック" w:hAnsi="ＭＳ ゴシック" w:hint="eastAsia"/>
                                <w:sz w:val="24"/>
                                <w:szCs w:val="32"/>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FF352" id="_x0000_t202" coordsize="21600,21600" o:spt="202" path="m,l,21600r21600,l21600,xe">
                <v:stroke joinstyle="miter"/>
                <v:path gradientshapeok="t" o:connecttype="rect"/>
              </v:shapetype>
              <v:shape id="テキスト ボックス 2" o:spid="_x0000_s1026" type="#_x0000_t202" style="position:absolute;left:0;text-align:left;margin-left:992.25pt;margin-top:56.7pt;width:8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" filled="f">
                <v:textbox inset="5.85pt,.7pt,5.85pt,.7pt">
                  <w:txbxContent>
                    <w:p w14:paraId="0BBBD0A1" w14:textId="77777777" w:rsidR="00E61759" w:rsidRPr="00810FE4" w:rsidRDefault="00E61759" w:rsidP="00E61759">
                      <w:pPr>
                        <w:snapToGrid w:val="0"/>
                        <w:ind w:left="20" w:hanging="20"/>
                        <w:jc w:val="center"/>
                        <w:rPr>
                          <w:rFonts w:ascii="ＭＳ ゴシック" w:eastAsia="ＭＳ ゴシック" w:hAnsi="ＭＳ ゴシック"/>
                          <w:sz w:val="2"/>
                          <w:szCs w:val="4"/>
                        </w:rPr>
                      </w:pPr>
                    </w:p>
                    <w:p w14:paraId="3F3F750C" w14:textId="5479A538" w:rsidR="00E61759" w:rsidRPr="00810FE4" w:rsidRDefault="00A77B8A" w:rsidP="00E61759">
                      <w:pPr>
                        <w:snapToGrid w:val="0"/>
                        <w:ind w:left="240" w:hanging="240"/>
                        <w:jc w:val="center"/>
                        <w:rPr>
                          <w:rFonts w:ascii="ＭＳ ゴシック" w:eastAsia="SimSun" w:hAnsi="ＭＳ ゴシック"/>
                          <w:spacing w:val="2"/>
                          <w:sz w:val="24"/>
                          <w:szCs w:val="32"/>
                          <w:lang w:eastAsia="zh-CN"/>
                        </w:rPr>
                      </w:pPr>
                      <w:r w:rsidRPr="00810FE4">
                        <w:rPr>
                          <w:rFonts w:ascii="ＭＳ ゴシック" w:eastAsia="ＭＳ ゴシック" w:hAnsi="ＭＳ ゴシック" w:hint="eastAsia"/>
                          <w:sz w:val="24"/>
                          <w:szCs w:val="32"/>
                        </w:rPr>
                        <w:t>別紙</w:t>
                      </w:r>
                      <w:r w:rsidR="0070591B" w:rsidRPr="00810FE4">
                        <w:rPr>
                          <w:rFonts w:ascii="ＭＳ ゴシック" w:eastAsia="ＭＳ ゴシック" w:hAnsi="ＭＳ ゴシック" w:hint="eastAsia"/>
                          <w:sz w:val="24"/>
                          <w:szCs w:val="32"/>
                        </w:rPr>
                        <w:t>３</w:t>
                      </w:r>
                    </w:p>
                  </w:txbxContent>
                </v:textbox>
                <w10:wrap anchory="page"/>
              </v:shape>
            </w:pict>
          </mc:Fallback>
        </mc:AlternateContent>
      </w:r>
      <w:r w:rsidRPr="00FF664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1312" behindDoc="0" locked="0" layoutInCell="1" allowOverlap="1" wp14:anchorId="0FF81B1F" wp14:editId="7A4F1F76">
                <wp:simplePos x="0" y="0"/>
                <wp:positionH relativeFrom="margin">
                  <wp:posOffset>-10642</wp:posOffset>
                </wp:positionH>
                <wp:positionV relativeFrom="margin">
                  <wp:posOffset>-10642</wp:posOffset>
                </wp:positionV>
                <wp:extent cx="3900805" cy="361315"/>
                <wp:effectExtent l="19050" t="19050" r="42545" b="387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361315"/>
                        </a:xfrm>
                        <a:prstGeom prst="rect">
                          <a:avLst/>
                        </a:prstGeom>
                        <a:noFill/>
                        <a:ln w="508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77A056" w14:textId="5051BC45" w:rsidR="0050520B" w:rsidRPr="00AE65E9" w:rsidRDefault="00340ACC" w:rsidP="00E61759">
                            <w:pPr>
                              <w:snapToGrid w:val="0"/>
                              <w:ind w:left="284" w:hanging="284"/>
                              <w:jc w:val="center"/>
                              <w:rPr>
                                <w:rFonts w:ascii="ＭＳ ゴシック" w:eastAsia="ＭＳ ゴシック" w:hAnsi="ＭＳ ゴシック"/>
                                <w:spacing w:val="2"/>
                                <w:sz w:val="28"/>
                                <w:szCs w:val="28"/>
                              </w:rPr>
                            </w:pPr>
                            <w:r>
                              <w:rPr>
                                <w:rFonts w:ascii="ＭＳ ゴシック" w:eastAsia="ＭＳ ゴシック" w:hAnsi="ＭＳ ゴシック" w:hint="eastAsia"/>
                                <w:spacing w:val="2"/>
                                <w:sz w:val="28"/>
                                <w:szCs w:val="28"/>
                              </w:rPr>
                              <w:t>「</w:t>
                            </w:r>
                            <w:r w:rsidR="00AE65E9">
                              <w:rPr>
                                <w:rFonts w:ascii="ＭＳ ゴシック" w:eastAsia="ＭＳ ゴシック" w:hAnsi="ＭＳ ゴシック" w:hint="eastAsia"/>
                                <w:spacing w:val="2"/>
                                <w:sz w:val="28"/>
                                <w:szCs w:val="28"/>
                              </w:rPr>
                              <w:t>Ⅴ　情報公表</w:t>
                            </w:r>
                            <w:r>
                              <w:rPr>
                                <w:rFonts w:ascii="ＭＳ ゴシック" w:eastAsia="ＭＳ ゴシック" w:hAnsi="ＭＳ ゴシック" w:hint="eastAsia"/>
                                <w:spacing w:val="2"/>
                                <w:sz w:val="28"/>
                                <w:szCs w:val="28"/>
                              </w:rPr>
                              <w:t>」関係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F81B1F" id="テキスト ボックス 1" o:spid="_x0000_s1027" type="#_x0000_t202" style="position:absolute;left:0;text-align:left;margin-left:-.85pt;margin-top:-.85pt;width:307.15pt;height:2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" filled="f" strokeweight="4pt">
                <v:stroke linestyle="thinThin"/>
                <v:textbox inset="5.85pt,.7pt,5.85pt,.7pt">
                  <w:txbxContent>
                    <w:p w14:paraId="0D77A056" w14:textId="5051BC45" w:rsidR="0050520B" w:rsidRPr="00AE65E9" w:rsidRDefault="00340ACC" w:rsidP="00E61759">
                      <w:pPr>
                        <w:snapToGrid w:val="0"/>
                        <w:ind w:left="284" w:hanging="284"/>
                        <w:jc w:val="center"/>
                        <w:rPr>
                          <w:rFonts w:ascii="ＭＳ ゴシック" w:eastAsia="ＭＳ ゴシック" w:hAnsi="ＭＳ ゴシック"/>
                          <w:spacing w:val="2"/>
                          <w:sz w:val="28"/>
                          <w:szCs w:val="28"/>
                        </w:rPr>
                      </w:pPr>
                      <w:r>
                        <w:rPr>
                          <w:rFonts w:ascii="ＭＳ ゴシック" w:eastAsia="ＭＳ ゴシック" w:hAnsi="ＭＳ ゴシック" w:hint="eastAsia"/>
                          <w:spacing w:val="2"/>
                          <w:sz w:val="28"/>
                          <w:szCs w:val="28"/>
                        </w:rPr>
                        <w:t>「</w:t>
                      </w:r>
                      <w:r w:rsidR="00AE65E9">
                        <w:rPr>
                          <w:rFonts w:ascii="ＭＳ ゴシック" w:eastAsia="ＭＳ ゴシック" w:hAnsi="ＭＳ ゴシック" w:hint="eastAsia"/>
                          <w:spacing w:val="2"/>
                          <w:sz w:val="28"/>
                          <w:szCs w:val="28"/>
                        </w:rPr>
                        <w:t>Ⅴ　情報公表</w:t>
                      </w:r>
                      <w:r>
                        <w:rPr>
                          <w:rFonts w:ascii="ＭＳ ゴシック" w:eastAsia="ＭＳ ゴシック" w:hAnsi="ＭＳ ゴシック" w:hint="eastAsia"/>
                          <w:spacing w:val="2"/>
                          <w:sz w:val="28"/>
                          <w:szCs w:val="28"/>
                        </w:rPr>
                        <w:t>」関係</w:t>
                      </w:r>
                    </w:p>
                  </w:txbxContent>
                </v:textbox>
                <w10:wrap anchorx="margin" anchory="margin"/>
              </v:shape>
            </w:pict>
          </mc:Fallback>
        </mc:AlternateContent>
      </w:r>
      <w:r w:rsidR="00893A2E" w:rsidRPr="00AB0877">
        <w:rPr>
          <w:rFonts w:ascii="ＤＦ特太ゴシック体" w:eastAsia="ＤＦ特太ゴシック体" w:hAnsi="ＤＦ特太ゴシック体" w:hint="eastAsia"/>
          <w:sz w:val="28"/>
        </w:rPr>
        <w:t>情報公表</w:t>
      </w:r>
      <w:r w:rsidR="00274D56" w:rsidRPr="00AB0877">
        <w:rPr>
          <w:rFonts w:ascii="ＤＦ特太ゴシック体" w:eastAsia="ＤＦ特太ゴシック体" w:hAnsi="ＤＦ特太ゴシック体" w:hint="eastAsia"/>
          <w:sz w:val="28"/>
        </w:rPr>
        <w:t>について</w:t>
      </w:r>
    </w:p>
    <w:p w14:paraId="39EE460B" w14:textId="25A33B6A" w:rsidR="00760BC7" w:rsidRDefault="00760BC7" w:rsidP="002608E3">
      <w:pPr>
        <w:ind w:left="210" w:hanging="210"/>
        <w:jc w:val="center"/>
        <w:rPr>
          <w:shd w:val="pct15" w:color="auto" w:fill="FFFFFF"/>
        </w:rPr>
      </w:pPr>
    </w:p>
    <w:p w14:paraId="022B1FE3" w14:textId="77777777" w:rsidR="00615424" w:rsidRPr="00AB0877" w:rsidRDefault="00615424" w:rsidP="002608E3">
      <w:pPr>
        <w:ind w:left="210" w:hanging="210"/>
        <w:jc w:val="center"/>
        <w:rPr>
          <w:shd w:val="pct15" w:color="auto" w:fill="FFFFFF"/>
        </w:rPr>
      </w:pPr>
    </w:p>
    <w:p w14:paraId="0A7DCA90" w14:textId="5DADF069" w:rsidR="00067044" w:rsidRPr="00AB0877" w:rsidRDefault="00067044" w:rsidP="00067044">
      <w:pPr>
        <w:widowControl/>
        <w:pBdr>
          <w:top w:val="dashed" w:sz="4" w:space="1" w:color="auto"/>
          <w:left w:val="dashed" w:sz="4" w:space="4" w:color="auto"/>
          <w:bottom w:val="dashed" w:sz="4" w:space="1" w:color="auto"/>
          <w:right w:val="dashed" w:sz="4" w:space="4" w:color="auto"/>
        </w:pBdr>
        <w:ind w:leftChars="150" w:left="525" w:rightChars="50" w:right="105" w:hanging="210"/>
      </w:pPr>
      <w:r w:rsidRPr="00AB0877">
        <w:rPr>
          <w:rFonts w:hint="eastAsia"/>
        </w:rPr>
        <w:t>・以下の表に掲げる情報は、</w:t>
      </w:r>
      <w:r w:rsidR="00797A7F" w:rsidRPr="00AB0877">
        <w:rPr>
          <w:rFonts w:hint="eastAsia"/>
        </w:rPr>
        <w:t>大学における</w:t>
      </w:r>
      <w:r w:rsidRPr="00AB0877">
        <w:rPr>
          <w:rFonts w:hint="eastAsia"/>
        </w:rPr>
        <w:t>学修成果</w:t>
      </w:r>
      <w:r w:rsidR="00797A7F" w:rsidRPr="00AB0877">
        <w:rPr>
          <w:rFonts w:hint="eastAsia"/>
        </w:rPr>
        <w:t>や</w:t>
      </w:r>
      <w:r w:rsidRPr="00AB0877">
        <w:rPr>
          <w:rFonts w:hint="eastAsia"/>
        </w:rPr>
        <w:t>教育成果</w:t>
      </w:r>
      <w:r w:rsidR="00797A7F" w:rsidRPr="00AB0877">
        <w:rPr>
          <w:rFonts w:hint="eastAsia"/>
        </w:rPr>
        <w:t>、</w:t>
      </w:r>
      <w:r w:rsidR="00A96F6E" w:rsidRPr="00AB0877">
        <w:rPr>
          <w:rFonts w:hint="eastAsia"/>
        </w:rPr>
        <w:t>これらを保証する条件</w:t>
      </w:r>
      <w:r w:rsidR="00797A7F" w:rsidRPr="00AB0877">
        <w:rPr>
          <w:rFonts w:hint="eastAsia"/>
        </w:rPr>
        <w:t>に関する情報として公表する意義があるものと考えられる情報</w:t>
      </w:r>
      <w:r w:rsidRPr="00AB0877">
        <w:rPr>
          <w:rFonts w:hint="eastAsia"/>
        </w:rPr>
        <w:t>であ</w:t>
      </w:r>
      <w:r w:rsidR="00CA009A" w:rsidRPr="00AB0877">
        <w:rPr>
          <w:rFonts w:hint="eastAsia"/>
        </w:rPr>
        <w:t>り、</w:t>
      </w:r>
      <w:r w:rsidR="00797A7F" w:rsidRPr="00AB0877">
        <w:rPr>
          <w:rFonts w:hint="eastAsia"/>
        </w:rPr>
        <w:t>（１）</w:t>
      </w:r>
      <w:r w:rsidR="00F36943" w:rsidRPr="00AB0877">
        <w:rPr>
          <w:rFonts w:hint="eastAsia"/>
        </w:rPr>
        <w:t>「</w:t>
      </w:r>
      <w:r w:rsidR="000B7240" w:rsidRPr="00AB0877">
        <w:rPr>
          <w:rFonts w:hint="eastAsia"/>
        </w:rPr>
        <w:t>『卒業認定・学位授与の方針』に定められた学修目標の達成状況を明らかにするための</w:t>
      </w:r>
      <w:r w:rsidR="00797A7F" w:rsidRPr="00AB0877">
        <w:rPr>
          <w:rFonts w:hint="eastAsia"/>
        </w:rPr>
        <w:t>学修成果・教育成果に関する情報</w:t>
      </w:r>
      <w:r w:rsidR="00BF45E8">
        <w:rPr>
          <w:rFonts w:hint="eastAsia"/>
        </w:rPr>
        <w:t>の例</w:t>
      </w:r>
      <w:r w:rsidR="00F36943" w:rsidRPr="00AB0877">
        <w:rPr>
          <w:rFonts w:hint="eastAsia"/>
        </w:rPr>
        <w:t>」</w:t>
      </w:r>
      <w:r w:rsidR="00797A7F" w:rsidRPr="00AB0877">
        <w:rPr>
          <w:rFonts w:hint="eastAsia"/>
        </w:rPr>
        <w:t>と（２）</w:t>
      </w:r>
      <w:r w:rsidR="00F36943" w:rsidRPr="00AB0877">
        <w:rPr>
          <w:rFonts w:hint="eastAsia"/>
        </w:rPr>
        <w:t>「学修成果・教育成果を保証する条件</w:t>
      </w:r>
      <w:r w:rsidR="00797A7F" w:rsidRPr="00AB0877">
        <w:rPr>
          <w:rFonts w:hint="eastAsia"/>
        </w:rPr>
        <w:t>に関する情報</w:t>
      </w:r>
      <w:r w:rsidR="00BF45E8">
        <w:rPr>
          <w:rFonts w:hint="eastAsia"/>
        </w:rPr>
        <w:t>の例</w:t>
      </w:r>
      <w:r w:rsidR="00F36943" w:rsidRPr="00AB0877">
        <w:rPr>
          <w:rFonts w:hint="eastAsia"/>
        </w:rPr>
        <w:t>」</w:t>
      </w:r>
      <w:r w:rsidR="00CA009A" w:rsidRPr="00AB0877">
        <w:rPr>
          <w:rFonts w:hint="eastAsia"/>
        </w:rPr>
        <w:t>の２項目について、それぞれ①「大学の教育活動に伴う基本的な情報であって全ての大学において収集可能と考えられるもの」と②「教学マネジメントを確立する上で各大学の判断の下で収集することが想定される情報」に分類している。</w:t>
      </w:r>
    </w:p>
    <w:p w14:paraId="50F5F152" w14:textId="39BC5EBD" w:rsidR="005D6279" w:rsidRDefault="00CA009A" w:rsidP="00CA009A">
      <w:pPr>
        <w:widowControl/>
        <w:pBdr>
          <w:top w:val="dashed" w:sz="4" w:space="1" w:color="auto"/>
          <w:left w:val="dashed" w:sz="4" w:space="4" w:color="auto"/>
          <w:bottom w:val="dashed" w:sz="4" w:space="1" w:color="auto"/>
          <w:right w:val="dashed" w:sz="4" w:space="4" w:color="auto"/>
        </w:pBdr>
        <w:ind w:leftChars="150" w:left="525" w:rightChars="50" w:right="105" w:hanging="210"/>
      </w:pPr>
      <w:r w:rsidRPr="00AB0877">
        <w:rPr>
          <w:rFonts w:hint="eastAsia"/>
        </w:rPr>
        <w:t>・これらの情報は、公表が考えられる</w:t>
      </w:r>
      <w:r w:rsidRPr="00AB0877">
        <w:t>ものをあくまで例として示したものである</w:t>
      </w:r>
      <w:r w:rsidR="00C053E1">
        <w:rPr>
          <w:rFonts w:hint="eastAsia"/>
        </w:rPr>
        <w:t>。また、</w:t>
      </w:r>
      <w:r w:rsidR="00967D53">
        <w:rPr>
          <w:rFonts w:hint="eastAsia"/>
        </w:rPr>
        <w:t>学位プログラムの内容やその学修目標により、特に②の情報</w:t>
      </w:r>
      <w:r w:rsidR="005D6279">
        <w:rPr>
          <w:rFonts w:hint="eastAsia"/>
        </w:rPr>
        <w:t>の</w:t>
      </w:r>
      <w:r w:rsidR="003F66B8">
        <w:rPr>
          <w:rFonts w:hint="eastAsia"/>
        </w:rPr>
        <w:t>収集・公表</w:t>
      </w:r>
      <w:r w:rsidR="005D6279">
        <w:rPr>
          <w:rFonts w:hint="eastAsia"/>
        </w:rPr>
        <w:t>の必要性・重要性は異なるものと考えられる。</w:t>
      </w:r>
    </w:p>
    <w:p w14:paraId="4762268C" w14:textId="75A18847" w:rsidR="00CA009A" w:rsidRPr="00AB0877" w:rsidRDefault="005D6279" w:rsidP="00CA009A">
      <w:pPr>
        <w:widowControl/>
        <w:pBdr>
          <w:top w:val="dashed" w:sz="4" w:space="1" w:color="auto"/>
          <w:left w:val="dashed" w:sz="4" w:space="4" w:color="auto"/>
          <w:bottom w:val="dashed" w:sz="4" w:space="1" w:color="auto"/>
          <w:right w:val="dashed" w:sz="4" w:space="4" w:color="auto"/>
        </w:pBdr>
        <w:ind w:leftChars="150" w:left="525" w:rightChars="50" w:right="105" w:hanging="210"/>
      </w:pPr>
      <w:r>
        <w:rPr>
          <w:rFonts w:hint="eastAsia"/>
        </w:rPr>
        <w:t>・</w:t>
      </w:r>
      <w:r w:rsidR="00F36943" w:rsidRPr="00AB0877">
        <w:rPr>
          <w:rFonts w:hint="eastAsia"/>
        </w:rPr>
        <w:t>これらの項目も参考としつつ、各大学の自主的・自律的な判断とその責任の下で情報公表が進められることが期待される</w:t>
      </w:r>
      <w:r w:rsidR="00CA009A" w:rsidRPr="00AB0877">
        <w:t>。</w:t>
      </w:r>
    </w:p>
    <w:p w14:paraId="17E153BE" w14:textId="1E8DCE38" w:rsidR="00CA009A" w:rsidRPr="00AB0877" w:rsidRDefault="00CA009A" w:rsidP="00067044">
      <w:pPr>
        <w:widowControl/>
        <w:pBdr>
          <w:top w:val="dashed" w:sz="4" w:space="1" w:color="auto"/>
          <w:left w:val="dashed" w:sz="4" w:space="4" w:color="auto"/>
          <w:bottom w:val="dashed" w:sz="4" w:space="1" w:color="auto"/>
          <w:right w:val="dashed" w:sz="4" w:space="4" w:color="auto"/>
        </w:pBdr>
        <w:ind w:leftChars="150" w:left="525" w:rightChars="50" w:right="105" w:hanging="210"/>
      </w:pPr>
      <w:r w:rsidRPr="00AB0877">
        <w:rPr>
          <w:rFonts w:hint="eastAsia"/>
        </w:rPr>
        <w:t>・これらの情報のうち、特に（１）①に分類されるものについては、社会からその公表が強く期待されている学修成果・教育成果に関係するものであることから、早期に情報公表が進められることが強く期待される。</w:t>
      </w:r>
    </w:p>
    <w:p w14:paraId="1E0FCBC3" w14:textId="27BCFA76" w:rsidR="00CA009A" w:rsidRPr="00AB0877" w:rsidRDefault="00CA009A" w:rsidP="00067044">
      <w:pPr>
        <w:widowControl/>
        <w:pBdr>
          <w:top w:val="dashed" w:sz="4" w:space="1" w:color="auto"/>
          <w:left w:val="dashed" w:sz="4" w:space="4" w:color="auto"/>
          <w:bottom w:val="dashed" w:sz="4" w:space="1" w:color="auto"/>
          <w:right w:val="dashed" w:sz="4" w:space="4" w:color="auto"/>
        </w:pBdr>
        <w:ind w:leftChars="150" w:left="525" w:rightChars="50" w:right="105" w:hanging="210"/>
      </w:pPr>
      <w:r w:rsidRPr="00AB0877">
        <w:rPr>
          <w:rFonts w:hint="eastAsia"/>
        </w:rPr>
        <w:t>・情報の公表に当たっては、利用者が適切に情報を取り扱うことができるようにする観点から、大学として理解を促進するための適切な分析や解説を、その根拠と併せて付するとともに、利用者の便宜に配慮した方法で行うことが求められる。</w:t>
      </w:r>
    </w:p>
    <w:p w14:paraId="648152FE" w14:textId="5119352F" w:rsidR="00F26416" w:rsidRPr="00AB0877" w:rsidRDefault="000A7E7A" w:rsidP="00A267BE">
      <w:pPr>
        <w:pBdr>
          <w:top w:val="dashed" w:sz="4" w:space="1" w:color="auto"/>
          <w:left w:val="dashed" w:sz="4" w:space="4" w:color="auto"/>
          <w:bottom w:val="dashed" w:sz="4" w:space="1" w:color="auto"/>
          <w:right w:val="dashed" w:sz="4" w:space="4" w:color="auto"/>
        </w:pBdr>
        <w:ind w:leftChars="150" w:left="525" w:rightChars="50" w:right="105" w:hanging="210"/>
      </w:pPr>
      <w:r w:rsidRPr="00AB0877">
        <w:rPr>
          <w:rFonts w:hint="eastAsia"/>
        </w:rPr>
        <w:t>・</w:t>
      </w:r>
      <w:r w:rsidR="00CA009A" w:rsidRPr="00AB0877">
        <w:rPr>
          <w:rFonts w:hint="eastAsia"/>
        </w:rPr>
        <w:t>以下、</w:t>
      </w:r>
      <w:r w:rsidRPr="00AB0877">
        <w:rPr>
          <w:rFonts w:hint="eastAsia"/>
        </w:rPr>
        <w:t>学校教育法施行規則（昭和２２年文部省令第１１号）を「規則」、</w:t>
      </w:r>
      <w:r w:rsidR="00B27BDF" w:rsidRPr="00AB0877">
        <w:rPr>
          <w:rFonts w:hint="eastAsia"/>
        </w:rPr>
        <w:t>大学設置基準（昭和３１年文部省令第２８号）</w:t>
      </w:r>
      <w:r w:rsidRPr="00AB0877">
        <w:rPr>
          <w:rFonts w:hint="eastAsia"/>
        </w:rPr>
        <w:t>を「基準」とそれぞれ略記</w:t>
      </w:r>
      <w:r w:rsidR="00CA009A" w:rsidRPr="00AB0877">
        <w:rPr>
          <w:rFonts w:hint="eastAsia"/>
        </w:rPr>
        <w:t>する</w:t>
      </w:r>
      <w:r w:rsidRPr="00AB0877">
        <w:rPr>
          <w:rFonts w:hint="eastAsia"/>
        </w:rPr>
        <w:t>。</w:t>
      </w:r>
    </w:p>
    <w:p w14:paraId="35806DC9" w14:textId="259D51CB" w:rsidR="00B822DA" w:rsidRPr="00AB0877" w:rsidRDefault="00B822DA" w:rsidP="002608E3">
      <w:pPr>
        <w:ind w:left="210" w:hanging="210"/>
        <w:jc w:val="center"/>
        <w:rPr>
          <w:shd w:val="pct15" w:color="auto" w:fill="FFFFFF"/>
        </w:rPr>
      </w:pPr>
    </w:p>
    <w:p w14:paraId="1F578F12" w14:textId="7B250B5F" w:rsidR="005C7C6A" w:rsidRPr="00AB0877" w:rsidRDefault="005E634B" w:rsidP="00067044">
      <w:pPr>
        <w:pStyle w:val="4"/>
        <w:spacing w:beforeLines="50" w:before="148"/>
      </w:pPr>
      <w:r>
        <w:rPr>
          <w:rFonts w:hint="eastAsia"/>
        </w:rPr>
        <w:t>「</w:t>
      </w:r>
      <w:r w:rsidR="000B7240" w:rsidRPr="00AB0877">
        <w:rPr>
          <w:rFonts w:hint="eastAsia"/>
        </w:rPr>
        <w:t>卒業認定・学位授与の方針</w:t>
      </w:r>
      <w:r>
        <w:rPr>
          <w:rFonts w:hint="eastAsia"/>
        </w:rPr>
        <w:t>」</w:t>
      </w:r>
      <w:r w:rsidR="000B7240" w:rsidRPr="00AB0877">
        <w:rPr>
          <w:rFonts w:hint="eastAsia"/>
        </w:rPr>
        <w:t>に定められた学修目標の達成状況を明らかにするための</w:t>
      </w:r>
      <w:r w:rsidR="00AB39C5" w:rsidRPr="00AB0877">
        <w:rPr>
          <w:rFonts w:hint="eastAsia"/>
        </w:rPr>
        <w:t>学修成果・教育成果に関する情報</w:t>
      </w:r>
      <w:r w:rsidR="000B7240" w:rsidRPr="00AB0877">
        <w:rPr>
          <w:rFonts w:hint="eastAsia"/>
        </w:rPr>
        <w:t>の例</w:t>
      </w:r>
    </w:p>
    <w:tbl>
      <w:tblPr>
        <w:tblStyle w:val="af8"/>
        <w:tblW w:w="21286" w:type="dxa"/>
        <w:tblInd w:w="240" w:type="dxa"/>
        <w:tblCellMar>
          <w:top w:w="28" w:type="dxa"/>
          <w:bottom w:w="28" w:type="dxa"/>
        </w:tblCellMar>
        <w:tblLook w:val="04A0" w:firstRow="1" w:lastRow="0" w:firstColumn="1" w:lastColumn="0" w:noHBand="0" w:noVBand="1"/>
      </w:tblPr>
      <w:tblGrid>
        <w:gridCol w:w="680"/>
        <w:gridCol w:w="2948"/>
        <w:gridCol w:w="5885"/>
        <w:gridCol w:w="5887"/>
        <w:gridCol w:w="5886"/>
      </w:tblGrid>
      <w:tr w:rsidR="00AB0877" w:rsidRPr="00AB0877" w14:paraId="77054756" w14:textId="77777777" w:rsidTr="00AB39C5">
        <w:trPr>
          <w:tblHeader/>
        </w:trPr>
        <w:tc>
          <w:tcPr>
            <w:tcW w:w="36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F99439" w14:textId="33C757EF" w:rsidR="00EF5086" w:rsidRPr="00AB0877" w:rsidRDefault="00EF5086" w:rsidP="006F1A3C">
            <w:pPr>
              <w:ind w:left="211" w:hanging="211"/>
              <w:jc w:val="center"/>
              <w:rPr>
                <w:b/>
              </w:rPr>
            </w:pPr>
            <w:bookmarkStart w:id="1" w:name="_Hlk19204130"/>
            <w:r w:rsidRPr="00AB0877">
              <w:rPr>
                <w:rFonts w:hint="eastAsia"/>
                <w:b/>
              </w:rPr>
              <w:t>情報</w:t>
            </w:r>
          </w:p>
        </w:tc>
        <w:tc>
          <w:tcPr>
            <w:tcW w:w="5885" w:type="dxa"/>
            <w:tcBorders>
              <w:left w:val="single" w:sz="4" w:space="0" w:color="auto"/>
            </w:tcBorders>
            <w:shd w:val="clear" w:color="auto" w:fill="BFBFBF" w:themeFill="background1" w:themeFillShade="BF"/>
            <w:vAlign w:val="center"/>
          </w:tcPr>
          <w:p w14:paraId="29B82C12" w14:textId="6F522DFF" w:rsidR="00EF5086" w:rsidRPr="00AB0877" w:rsidRDefault="00EF5086" w:rsidP="006F1A3C">
            <w:pPr>
              <w:ind w:left="211" w:hanging="211"/>
              <w:jc w:val="center"/>
              <w:rPr>
                <w:b/>
              </w:rPr>
            </w:pPr>
            <w:r w:rsidRPr="00AB0877">
              <w:rPr>
                <w:rFonts w:hint="eastAsia"/>
                <w:b/>
              </w:rPr>
              <w:t>①</w:t>
            </w:r>
            <w:r w:rsidR="00353732" w:rsidRPr="00AB0877">
              <w:rPr>
                <w:rFonts w:hint="eastAsia"/>
                <w:b/>
              </w:rPr>
              <w:t>公表</w:t>
            </w:r>
            <w:r w:rsidRPr="00AB0877">
              <w:rPr>
                <w:rFonts w:hint="eastAsia"/>
                <w:b/>
              </w:rPr>
              <w:t>の意義</w:t>
            </w:r>
          </w:p>
        </w:tc>
        <w:tc>
          <w:tcPr>
            <w:tcW w:w="5887" w:type="dxa"/>
            <w:shd w:val="clear" w:color="auto" w:fill="BFBFBF" w:themeFill="background1" w:themeFillShade="BF"/>
            <w:vAlign w:val="center"/>
          </w:tcPr>
          <w:p w14:paraId="197F6E75" w14:textId="7997F2E7" w:rsidR="00EF5086" w:rsidRPr="00AB0877" w:rsidRDefault="00EF5086" w:rsidP="006F1A3C">
            <w:pPr>
              <w:ind w:left="211" w:hanging="211"/>
              <w:jc w:val="center"/>
              <w:rPr>
                <w:b/>
              </w:rPr>
            </w:pPr>
            <w:r w:rsidRPr="00AB0877">
              <w:rPr>
                <w:rFonts w:hint="eastAsia"/>
                <w:b/>
              </w:rPr>
              <w:t>②</w:t>
            </w:r>
            <w:r w:rsidR="00353732" w:rsidRPr="00AB0877">
              <w:rPr>
                <w:rFonts w:hint="eastAsia"/>
                <w:b/>
              </w:rPr>
              <w:t>公表</w:t>
            </w:r>
            <w:r w:rsidRPr="00AB0877">
              <w:rPr>
                <w:rFonts w:hint="eastAsia"/>
                <w:b/>
              </w:rPr>
              <w:t>することが考えられる内容</w:t>
            </w:r>
          </w:p>
        </w:tc>
        <w:tc>
          <w:tcPr>
            <w:tcW w:w="5886" w:type="dxa"/>
            <w:shd w:val="clear" w:color="auto" w:fill="BFBFBF" w:themeFill="background1" w:themeFillShade="BF"/>
            <w:vAlign w:val="center"/>
          </w:tcPr>
          <w:p w14:paraId="48BD2FA8" w14:textId="23F13E72" w:rsidR="00EF5086" w:rsidRPr="00AB0877" w:rsidRDefault="00EF5086" w:rsidP="006F1A3C">
            <w:pPr>
              <w:ind w:left="211" w:hanging="211"/>
              <w:jc w:val="center"/>
              <w:rPr>
                <w:b/>
              </w:rPr>
            </w:pPr>
            <w:r w:rsidRPr="00AB0877">
              <w:rPr>
                <w:rFonts w:hint="eastAsia"/>
                <w:b/>
              </w:rPr>
              <w:t>③</w:t>
            </w:r>
            <w:r w:rsidR="00C40810" w:rsidRPr="00AB0877">
              <w:rPr>
                <w:rFonts w:hint="eastAsia"/>
                <w:b/>
              </w:rPr>
              <w:t>公表する情報の収集等</w:t>
            </w:r>
            <w:r w:rsidRPr="00AB0877">
              <w:rPr>
                <w:rFonts w:hint="eastAsia"/>
                <w:b/>
              </w:rPr>
              <w:t>の方法</w:t>
            </w:r>
          </w:p>
        </w:tc>
      </w:tr>
      <w:bookmarkEnd w:id="1"/>
      <w:tr w:rsidR="00FB32DA" w:rsidRPr="00AB0877" w14:paraId="204AD0F7" w14:textId="77777777" w:rsidTr="00C128D6">
        <w:trPr>
          <w:cantSplit/>
          <w:trHeight w:val="567"/>
        </w:trPr>
        <w:tc>
          <w:tcPr>
            <w:tcW w:w="680" w:type="dxa"/>
            <w:vMerge w:val="restart"/>
            <w:tcBorders>
              <w:top w:val="single" w:sz="4" w:space="0" w:color="auto"/>
              <w:left w:val="single" w:sz="4" w:space="0" w:color="auto"/>
              <w:right w:val="single" w:sz="4" w:space="0" w:color="auto"/>
            </w:tcBorders>
            <w:shd w:val="clear" w:color="auto" w:fill="FFFFFF" w:themeFill="background1"/>
            <w:textDirection w:val="tbRlV"/>
            <w:vAlign w:val="center"/>
          </w:tcPr>
          <w:p w14:paraId="53E5581E" w14:textId="5E088545" w:rsidR="00FB32DA" w:rsidRPr="00AB0877" w:rsidRDefault="00FB32DA" w:rsidP="00FB32DA">
            <w:pPr>
              <w:ind w:left="113" w:right="113" w:firstLineChars="0" w:firstLine="0"/>
              <w:jc w:val="center"/>
            </w:pPr>
            <w:r w:rsidRPr="00AB0877">
              <w:rPr>
                <w:rFonts w:hint="eastAsia"/>
              </w:rPr>
              <w:t>①大学の教育活動に伴う基本的な情報であって全ての大学において収集可能と考えられるもの</w:t>
            </w:r>
          </w:p>
        </w:tc>
        <w:tc>
          <w:tcPr>
            <w:tcW w:w="2948" w:type="dxa"/>
            <w:tcBorders>
              <w:top w:val="single" w:sz="4" w:space="0" w:color="auto"/>
              <w:left w:val="single" w:sz="4" w:space="0" w:color="auto"/>
              <w:right w:val="single" w:sz="4" w:space="0" w:color="auto"/>
            </w:tcBorders>
            <w:shd w:val="clear" w:color="auto" w:fill="FFFFFF" w:themeFill="background1"/>
            <w:vAlign w:val="center"/>
          </w:tcPr>
          <w:p w14:paraId="208E9738" w14:textId="3B5C2958" w:rsidR="00FB32DA" w:rsidRPr="00AB0877" w:rsidRDefault="00FB32DA" w:rsidP="00994941">
            <w:pPr>
              <w:ind w:left="0" w:firstLineChars="0" w:firstLine="0"/>
            </w:pPr>
            <w:r w:rsidRPr="00AB0877">
              <w:rPr>
                <w:rFonts w:hint="eastAsia"/>
              </w:rPr>
              <w:t>各授業科目における到達目標の達成状況</w:t>
            </w:r>
          </w:p>
        </w:tc>
        <w:tc>
          <w:tcPr>
            <w:tcW w:w="5885" w:type="dxa"/>
            <w:tcBorders>
              <w:left w:val="single" w:sz="4" w:space="0" w:color="auto"/>
            </w:tcBorders>
            <w:shd w:val="clear" w:color="auto" w:fill="auto"/>
            <w:vAlign w:val="center"/>
          </w:tcPr>
          <w:p w14:paraId="194C0541" w14:textId="66D89F36" w:rsidR="00FB32DA" w:rsidRPr="00AB0877" w:rsidRDefault="00FB32DA" w:rsidP="00FB32DA">
            <w:pPr>
              <w:ind w:left="210" w:hanging="210"/>
            </w:pPr>
            <w:r>
              <w:rPr>
                <w:rFonts w:hint="eastAsia"/>
              </w:rPr>
              <w:t>・学生が、個々の授業科目の履修の結果として「卒業認定・学位授与の方針」に定められた資質・能力を獲得してゆく過程について、全体的な状況を明らかにする</w:t>
            </w:r>
          </w:p>
        </w:tc>
        <w:tc>
          <w:tcPr>
            <w:tcW w:w="5887" w:type="dxa"/>
            <w:shd w:val="clear" w:color="auto" w:fill="auto"/>
            <w:vAlign w:val="center"/>
          </w:tcPr>
          <w:p w14:paraId="5C76387C" w14:textId="77777777" w:rsidR="00FB32DA" w:rsidRDefault="00FB32DA" w:rsidP="00FB32DA">
            <w:pPr>
              <w:ind w:left="210" w:hanging="210"/>
            </w:pPr>
            <w:r>
              <w:rPr>
                <w:rFonts w:hint="eastAsia"/>
              </w:rPr>
              <w:t>・同一の学位プログラムに属する学生の単位修得に関する以下の情報</w:t>
            </w:r>
          </w:p>
          <w:p w14:paraId="3E61D0ED" w14:textId="77777777" w:rsidR="00FB32DA" w:rsidRDefault="00FB32DA" w:rsidP="00FB32DA">
            <w:pPr>
              <w:ind w:left="210" w:hanging="210"/>
            </w:pPr>
            <w:r>
              <w:rPr>
                <w:rFonts w:hint="eastAsia"/>
              </w:rPr>
              <w:t xml:space="preserve">　・入学年度別・年度毎の平均履修単位数（※）</w:t>
            </w:r>
          </w:p>
          <w:p w14:paraId="4998F2CF" w14:textId="77777777" w:rsidR="00FB32DA" w:rsidRDefault="00FB32DA" w:rsidP="00FB32DA">
            <w:pPr>
              <w:ind w:left="210" w:hanging="210"/>
            </w:pPr>
            <w:r>
              <w:rPr>
                <w:rFonts w:hint="eastAsia"/>
              </w:rPr>
              <w:t xml:space="preserve">　・入学年度別・年度毎の平均修得単位数（※）</w:t>
            </w:r>
          </w:p>
          <w:p w14:paraId="3C827134" w14:textId="77777777" w:rsidR="00FB32DA" w:rsidRDefault="00FB32DA" w:rsidP="00FB32DA">
            <w:pPr>
              <w:ind w:left="210" w:hanging="210"/>
            </w:pPr>
            <w:r>
              <w:rPr>
                <w:rFonts w:hint="eastAsia"/>
              </w:rPr>
              <w:t>（※）必修科目、選択科目及び自由科目で細分化することも考えられる。</w:t>
            </w:r>
          </w:p>
          <w:p w14:paraId="733DBE77" w14:textId="4497051B" w:rsidR="00FB32DA" w:rsidRDefault="00FB32DA" w:rsidP="00FB32DA">
            <w:pPr>
              <w:ind w:left="210" w:hanging="210"/>
            </w:pPr>
            <w:r>
              <w:rPr>
                <w:rFonts w:hint="eastAsia"/>
              </w:rPr>
              <w:t>（学修時間や</w:t>
            </w:r>
            <w:r w:rsidR="00994941">
              <w:rPr>
                <w:rFonts w:hint="eastAsia"/>
              </w:rPr>
              <w:t>学事暦の柔軟化の状況、</w:t>
            </w:r>
            <w:r>
              <w:rPr>
                <w:rFonts w:hint="eastAsia"/>
              </w:rPr>
              <w:t>履修単位の登録上限設定の状況、ＧＰＡの活用状況と併せて分析を行い、公表することが有益）</w:t>
            </w:r>
          </w:p>
          <w:p w14:paraId="0112FEDD" w14:textId="22C0CE9F" w:rsidR="00FB32DA" w:rsidRPr="00AB0877" w:rsidRDefault="00FB32DA" w:rsidP="00FB32DA">
            <w:pPr>
              <w:pStyle w:val="af9"/>
            </w:pPr>
            <w:r>
              <w:rPr>
                <w:rFonts w:hint="eastAsia"/>
                <w:shd w:val="pct15" w:color="auto" w:fill="FFFFFF"/>
              </w:rPr>
              <w:t>関連する法令等：</w:t>
            </w:r>
            <w:r>
              <w:rPr>
                <w:rFonts w:hint="eastAsia"/>
              </w:rPr>
              <w:t>基準第３２条</w:t>
            </w:r>
          </w:p>
        </w:tc>
        <w:tc>
          <w:tcPr>
            <w:tcW w:w="5886" w:type="dxa"/>
            <w:shd w:val="clear" w:color="auto" w:fill="auto"/>
            <w:vAlign w:val="center"/>
          </w:tcPr>
          <w:p w14:paraId="50C81B95" w14:textId="3B0A0EB9" w:rsidR="00FB32DA" w:rsidRPr="00AB0877" w:rsidRDefault="00FB32DA" w:rsidP="00FB32DA">
            <w:pPr>
              <w:ind w:left="210" w:hanging="210"/>
            </w:pPr>
            <w:r>
              <w:rPr>
                <w:rFonts w:hint="eastAsia"/>
              </w:rPr>
              <w:t>・教務システム等を活用した個々の学生の授業科目の履修履歴の収集</w:t>
            </w:r>
          </w:p>
        </w:tc>
      </w:tr>
      <w:tr w:rsidR="00FB32DA" w:rsidRPr="00AB0877" w14:paraId="143C51A5" w14:textId="77777777" w:rsidTr="00C128D6">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7128A64F" w14:textId="462C149E" w:rsidR="00FB32DA" w:rsidRPr="00AB0877" w:rsidRDefault="00FB32DA" w:rsidP="00FB32DA">
            <w:pPr>
              <w:ind w:left="0" w:firstLineChars="0" w:firstLine="0"/>
            </w:pPr>
          </w:p>
        </w:tc>
        <w:tc>
          <w:tcPr>
            <w:tcW w:w="2948" w:type="dxa"/>
            <w:tcBorders>
              <w:left w:val="single" w:sz="4" w:space="0" w:color="auto"/>
              <w:right w:val="single" w:sz="4" w:space="0" w:color="auto"/>
            </w:tcBorders>
            <w:shd w:val="clear" w:color="auto" w:fill="FFFFFF" w:themeFill="background1"/>
            <w:vAlign w:val="center"/>
          </w:tcPr>
          <w:p w14:paraId="38D14AEB" w14:textId="756FEECC" w:rsidR="00FB32DA" w:rsidRPr="00AB0877" w:rsidRDefault="00FB32DA" w:rsidP="00FB32DA">
            <w:pPr>
              <w:ind w:left="0" w:firstLineChars="0" w:firstLine="0"/>
            </w:pPr>
            <w:r w:rsidRPr="00AB0877">
              <w:rPr>
                <w:rFonts w:hint="eastAsia"/>
              </w:rPr>
              <w:t>学位の取得状況</w:t>
            </w:r>
          </w:p>
        </w:tc>
        <w:tc>
          <w:tcPr>
            <w:tcW w:w="5885" w:type="dxa"/>
            <w:tcBorders>
              <w:left w:val="single" w:sz="4" w:space="0" w:color="auto"/>
            </w:tcBorders>
            <w:shd w:val="clear" w:color="auto" w:fill="auto"/>
            <w:vAlign w:val="center"/>
          </w:tcPr>
          <w:p w14:paraId="71852D20" w14:textId="0B2B68CF" w:rsidR="00FB32DA" w:rsidRPr="00AB0877" w:rsidRDefault="00FB32DA" w:rsidP="00FB32DA">
            <w:pPr>
              <w:ind w:left="210" w:hanging="210"/>
            </w:pPr>
            <w:r w:rsidRPr="007562E3">
              <w:rPr>
                <w:rFonts w:hint="eastAsia"/>
              </w:rPr>
              <w:t>・個々の授業科目の履修の結果として「卒業認定・学位授与の方針」に定める資質・能力を備え</w:t>
            </w:r>
            <w:r>
              <w:rPr>
                <w:rFonts w:hint="eastAsia"/>
              </w:rPr>
              <w:t>た学生が何人卒業しているかを</w:t>
            </w:r>
            <w:r w:rsidRPr="007562E3">
              <w:rPr>
                <w:rFonts w:hint="eastAsia"/>
              </w:rPr>
              <w:t>明らかにする</w:t>
            </w:r>
          </w:p>
        </w:tc>
        <w:tc>
          <w:tcPr>
            <w:tcW w:w="5887" w:type="dxa"/>
            <w:shd w:val="clear" w:color="auto" w:fill="auto"/>
            <w:vAlign w:val="center"/>
          </w:tcPr>
          <w:p w14:paraId="4A643E7E" w14:textId="77777777" w:rsidR="00FB32DA" w:rsidRDefault="00FB32DA" w:rsidP="00FB32DA">
            <w:pPr>
              <w:ind w:left="210" w:hanging="210"/>
            </w:pPr>
            <w:r>
              <w:rPr>
                <w:rFonts w:hint="eastAsia"/>
              </w:rPr>
              <w:t>・学位プログラムが授与した学位の名称と授与者の数</w:t>
            </w:r>
          </w:p>
          <w:p w14:paraId="02BE3434" w14:textId="77777777" w:rsidR="00FB32DA" w:rsidRDefault="00FB32DA" w:rsidP="00FB32DA">
            <w:pPr>
              <w:ind w:left="210" w:hanging="210"/>
            </w:pPr>
            <w:r>
              <w:rPr>
                <w:rFonts w:hint="eastAsia"/>
              </w:rPr>
              <w:t>・当該学位に係る「卒業認定・学位授与の方針」に定められた資質・能力</w:t>
            </w:r>
          </w:p>
          <w:p w14:paraId="55E56CDB" w14:textId="77777777" w:rsidR="00FB32DA" w:rsidRDefault="00FB32DA" w:rsidP="00FB32DA">
            <w:pPr>
              <w:pStyle w:val="af9"/>
            </w:pPr>
            <w:r>
              <w:rPr>
                <w:rFonts w:hint="eastAsia"/>
                <w:shd w:val="pct15" w:color="auto" w:fill="FFFFFF"/>
              </w:rPr>
              <w:t>関連する法令等：</w:t>
            </w:r>
            <w:r>
              <w:rPr>
                <w:rFonts w:hint="eastAsia"/>
              </w:rPr>
              <w:t>規則第１７２条の２第１項第１号、</w:t>
            </w:r>
          </w:p>
          <w:p w14:paraId="1D2122A8" w14:textId="5D8DEFB7" w:rsidR="00FB32DA" w:rsidRPr="00AB0877" w:rsidRDefault="00FB32DA" w:rsidP="00FB32DA">
            <w:pPr>
              <w:pStyle w:val="af9"/>
            </w:pPr>
            <w:r>
              <w:rPr>
                <w:rFonts w:hint="eastAsia"/>
              </w:rPr>
              <w:t xml:space="preserve">　　　　　　　　第４号及び第６号</w:t>
            </w:r>
          </w:p>
        </w:tc>
        <w:tc>
          <w:tcPr>
            <w:tcW w:w="5886" w:type="dxa"/>
            <w:shd w:val="clear" w:color="auto" w:fill="auto"/>
            <w:vAlign w:val="center"/>
          </w:tcPr>
          <w:p w14:paraId="1B3B4E97" w14:textId="0529EC20" w:rsidR="00FB32DA" w:rsidRPr="00AB0877" w:rsidRDefault="00FB32DA" w:rsidP="00FB32DA">
            <w:pPr>
              <w:ind w:left="210" w:hanging="210"/>
            </w:pPr>
            <w:r>
              <w:rPr>
                <w:rFonts w:hint="eastAsia"/>
              </w:rPr>
              <w:t>・学位授与履歴を収集</w:t>
            </w:r>
          </w:p>
        </w:tc>
      </w:tr>
      <w:tr w:rsidR="00FB32DA" w:rsidRPr="00AB0877" w14:paraId="05F72591" w14:textId="77777777" w:rsidTr="00C128D6">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465B2079" w14:textId="77777777" w:rsidR="00FB32DA" w:rsidRPr="00AB0877" w:rsidRDefault="00FB32DA" w:rsidP="00FB32DA">
            <w:pPr>
              <w:ind w:left="0" w:firstLineChars="0" w:firstLine="0"/>
            </w:pPr>
          </w:p>
        </w:tc>
        <w:tc>
          <w:tcPr>
            <w:tcW w:w="2948" w:type="dxa"/>
            <w:tcBorders>
              <w:left w:val="single" w:sz="4" w:space="0" w:color="auto"/>
              <w:right w:val="single" w:sz="4" w:space="0" w:color="auto"/>
            </w:tcBorders>
            <w:shd w:val="clear" w:color="auto" w:fill="FFFFFF" w:themeFill="background1"/>
            <w:vAlign w:val="center"/>
          </w:tcPr>
          <w:p w14:paraId="6914E67A" w14:textId="0465DE7E" w:rsidR="00FB32DA" w:rsidRPr="00AB0877" w:rsidRDefault="00FB32DA" w:rsidP="00FB32DA">
            <w:pPr>
              <w:ind w:left="0" w:firstLineChars="0" w:firstLine="0"/>
            </w:pPr>
            <w:r w:rsidRPr="00AB0877">
              <w:rPr>
                <w:rFonts w:hint="eastAsia"/>
              </w:rPr>
              <w:t>学生の成長実感・満足度</w:t>
            </w:r>
          </w:p>
        </w:tc>
        <w:tc>
          <w:tcPr>
            <w:tcW w:w="5885" w:type="dxa"/>
            <w:tcBorders>
              <w:left w:val="single" w:sz="4" w:space="0" w:color="auto"/>
            </w:tcBorders>
            <w:shd w:val="clear" w:color="auto" w:fill="auto"/>
            <w:vAlign w:val="center"/>
          </w:tcPr>
          <w:p w14:paraId="15748119" w14:textId="77777777" w:rsidR="00FB32DA" w:rsidRDefault="00FB32DA" w:rsidP="00FB32DA">
            <w:pPr>
              <w:ind w:left="210" w:hanging="210"/>
            </w:pPr>
            <w:r w:rsidRPr="007562E3">
              <w:rPr>
                <w:rFonts w:hint="eastAsia"/>
              </w:rPr>
              <w:t>・学生が、「卒業認定・学位授与の方針」に定められたそれぞれの資質・能力をどの程度身に付けられているか等に</w:t>
            </w:r>
            <w:r>
              <w:rPr>
                <w:rFonts w:hint="eastAsia"/>
              </w:rPr>
              <w:t>関する</w:t>
            </w:r>
            <w:r w:rsidRPr="007562E3">
              <w:rPr>
                <w:rFonts w:hint="eastAsia"/>
              </w:rPr>
              <w:t>学生の主観的な評価</w:t>
            </w:r>
            <w:r>
              <w:rPr>
                <w:rFonts w:hint="eastAsia"/>
              </w:rPr>
              <w:t>について、全体的な状況</w:t>
            </w:r>
            <w:r w:rsidRPr="007562E3">
              <w:rPr>
                <w:rFonts w:hint="eastAsia"/>
              </w:rPr>
              <w:t>を明らかにする</w:t>
            </w:r>
          </w:p>
          <w:p w14:paraId="318957BA" w14:textId="77777777" w:rsidR="00FB32DA" w:rsidRPr="007562E3" w:rsidRDefault="00FB32DA" w:rsidP="00FB32DA">
            <w:pPr>
              <w:ind w:left="210" w:hanging="210"/>
            </w:pPr>
            <w:r w:rsidRPr="007562E3">
              <w:rPr>
                <w:rFonts w:hint="eastAsia"/>
              </w:rPr>
              <w:t>・大学が、ある学位プログラムに所属する学生から「卒業認定・学位授与の方針」に定められた資質・能力の育成に関してどのような評価を受けているか</w:t>
            </w:r>
            <w:r>
              <w:rPr>
                <w:rFonts w:hint="eastAsia"/>
              </w:rPr>
              <w:t>について、全体的な状況</w:t>
            </w:r>
            <w:r w:rsidRPr="007562E3">
              <w:rPr>
                <w:rFonts w:hint="eastAsia"/>
              </w:rPr>
              <w:t>を明らかにする</w:t>
            </w:r>
          </w:p>
          <w:p w14:paraId="2392A249" w14:textId="1B608805" w:rsidR="00FB32DA" w:rsidRPr="00AB0877" w:rsidRDefault="00FB32DA" w:rsidP="00FB32DA">
            <w:pPr>
              <w:ind w:left="210" w:hanging="210"/>
            </w:pPr>
          </w:p>
        </w:tc>
        <w:tc>
          <w:tcPr>
            <w:tcW w:w="5887" w:type="dxa"/>
            <w:shd w:val="clear" w:color="auto" w:fill="auto"/>
            <w:vAlign w:val="center"/>
          </w:tcPr>
          <w:p w14:paraId="4B688856" w14:textId="425EA7A5" w:rsidR="00FB32DA" w:rsidRPr="00AB0877" w:rsidRDefault="00FB32DA" w:rsidP="00FB32DA">
            <w:pPr>
              <w:ind w:left="210" w:hanging="210"/>
            </w:pPr>
            <w:r>
              <w:rPr>
                <w:rFonts w:hint="eastAsia"/>
              </w:rPr>
              <w:t>・同一の学位プログラムに属するそれぞれの学生の、「卒業認定・学位授与の方針」に定められた資質・能力の伸長に対する主観的な評価の年度毎の平均値及び分布その他の全体的な状況</w:t>
            </w:r>
          </w:p>
        </w:tc>
        <w:tc>
          <w:tcPr>
            <w:tcW w:w="5886" w:type="dxa"/>
            <w:shd w:val="clear" w:color="auto" w:fill="auto"/>
            <w:vAlign w:val="center"/>
          </w:tcPr>
          <w:p w14:paraId="04431F77" w14:textId="2230F0FA" w:rsidR="00FB32DA" w:rsidRPr="00AB0877" w:rsidRDefault="00FB32DA" w:rsidP="00FB32DA">
            <w:pPr>
              <w:ind w:left="210" w:hanging="210"/>
            </w:pPr>
            <w:r>
              <w:rPr>
                <w:rFonts w:hint="eastAsia"/>
              </w:rPr>
              <w:t>・学生へのアンケート調査を通じた収集</w:t>
            </w:r>
          </w:p>
        </w:tc>
      </w:tr>
      <w:tr w:rsidR="0050520B" w:rsidRPr="00AB0877" w14:paraId="61C5316F" w14:textId="77777777" w:rsidTr="00C128D6">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009179A1" w14:textId="77777777" w:rsidR="0050520B" w:rsidRPr="00AB0877" w:rsidRDefault="0050520B" w:rsidP="009F3624">
            <w:pPr>
              <w:ind w:left="0" w:firstLineChars="0" w:firstLine="0"/>
            </w:pPr>
          </w:p>
        </w:tc>
        <w:tc>
          <w:tcPr>
            <w:tcW w:w="2948" w:type="dxa"/>
            <w:tcBorders>
              <w:left w:val="single" w:sz="4" w:space="0" w:color="auto"/>
              <w:right w:val="single" w:sz="4" w:space="0" w:color="auto"/>
            </w:tcBorders>
            <w:shd w:val="clear" w:color="auto" w:fill="FFFFFF" w:themeFill="background1"/>
            <w:vAlign w:val="center"/>
          </w:tcPr>
          <w:p w14:paraId="65908A54" w14:textId="0A8B3FD8" w:rsidR="0050520B" w:rsidRPr="00AB0877" w:rsidRDefault="0050520B" w:rsidP="00891E26">
            <w:pPr>
              <w:ind w:left="0" w:firstLineChars="0" w:firstLine="0"/>
            </w:pPr>
            <w:r w:rsidRPr="00AB0877">
              <w:rPr>
                <w:rFonts w:hint="eastAsia"/>
              </w:rPr>
              <w:t>進路の決定状況等の卒業後の状況（進学率や就職率</w:t>
            </w:r>
            <w:r>
              <w:rPr>
                <w:rFonts w:hint="eastAsia"/>
              </w:rPr>
              <w:t>等</w:t>
            </w:r>
            <w:r w:rsidRPr="00AB0877">
              <w:rPr>
                <w:rFonts w:hint="eastAsia"/>
              </w:rPr>
              <w:t>）</w:t>
            </w:r>
          </w:p>
        </w:tc>
        <w:tc>
          <w:tcPr>
            <w:tcW w:w="5885" w:type="dxa"/>
            <w:tcBorders>
              <w:left w:val="single" w:sz="4" w:space="0" w:color="auto"/>
            </w:tcBorders>
            <w:shd w:val="clear" w:color="auto" w:fill="auto"/>
            <w:vAlign w:val="center"/>
          </w:tcPr>
          <w:p w14:paraId="252E1508" w14:textId="517D940C" w:rsidR="0050520B" w:rsidRPr="00AB0877" w:rsidRDefault="0050520B" w:rsidP="00891E26">
            <w:pPr>
              <w:ind w:left="210" w:hanging="210"/>
            </w:pPr>
            <w:r w:rsidRPr="00AB0877">
              <w:rPr>
                <w:rFonts w:hint="eastAsia"/>
              </w:rPr>
              <w:t>・進学や就職等を希望する学生の進路状況を明らかにする</w:t>
            </w:r>
          </w:p>
        </w:tc>
        <w:tc>
          <w:tcPr>
            <w:tcW w:w="5887" w:type="dxa"/>
            <w:shd w:val="clear" w:color="auto" w:fill="auto"/>
            <w:vAlign w:val="center"/>
          </w:tcPr>
          <w:p w14:paraId="6094177E" w14:textId="77777777" w:rsidR="0050520B" w:rsidRPr="00AB0877" w:rsidRDefault="0050520B" w:rsidP="00891E26">
            <w:pPr>
              <w:ind w:left="210" w:hanging="210"/>
            </w:pPr>
            <w:r w:rsidRPr="00AB0877">
              <w:rPr>
                <w:rFonts w:hint="eastAsia"/>
              </w:rPr>
              <w:t>・学位プログラム毎の以下の情報</w:t>
            </w:r>
          </w:p>
          <w:p w14:paraId="2C562D8B" w14:textId="77777777" w:rsidR="0050520B" w:rsidRPr="00AB0877" w:rsidRDefault="0050520B" w:rsidP="00891E26">
            <w:pPr>
              <w:ind w:left="210" w:hanging="210"/>
            </w:pPr>
            <w:r w:rsidRPr="00AB0877">
              <w:rPr>
                <w:rFonts w:hint="eastAsia"/>
              </w:rPr>
              <w:t xml:space="preserve">　・就職を希望した学生数を分母とする就職者の割合</w:t>
            </w:r>
          </w:p>
          <w:p w14:paraId="011DEF23" w14:textId="77777777" w:rsidR="0050520B" w:rsidRPr="00AB0877" w:rsidRDefault="0050520B" w:rsidP="00891E26">
            <w:pPr>
              <w:ind w:left="210" w:hanging="210"/>
            </w:pPr>
            <w:r w:rsidRPr="00AB0877">
              <w:rPr>
                <w:rFonts w:hint="eastAsia"/>
              </w:rPr>
              <w:t xml:space="preserve">　・学生の主な就職先</w:t>
            </w:r>
          </w:p>
          <w:p w14:paraId="746BC9AF" w14:textId="77777777" w:rsidR="0050520B" w:rsidRPr="00AB0877" w:rsidRDefault="0050520B" w:rsidP="00891E26">
            <w:pPr>
              <w:ind w:left="210" w:hanging="210"/>
            </w:pPr>
            <w:r w:rsidRPr="00AB0877">
              <w:rPr>
                <w:rFonts w:hint="eastAsia"/>
              </w:rPr>
              <w:t xml:space="preserve">　・進学を希望した学生数を分母とする進学者の割合</w:t>
            </w:r>
          </w:p>
          <w:p w14:paraId="662532B6" w14:textId="77777777" w:rsidR="0050520B" w:rsidRPr="00AB0877" w:rsidRDefault="0050520B" w:rsidP="00891E26">
            <w:pPr>
              <w:ind w:left="210" w:hanging="210"/>
            </w:pPr>
            <w:r w:rsidRPr="00AB0877">
              <w:rPr>
                <w:rFonts w:hint="eastAsia"/>
              </w:rPr>
              <w:t xml:space="preserve">　・学生の主な進学先</w:t>
            </w:r>
          </w:p>
          <w:p w14:paraId="3C176A53" w14:textId="429B0CBE" w:rsidR="0050520B" w:rsidRDefault="0050520B" w:rsidP="00891E26">
            <w:pPr>
              <w:ind w:left="210" w:hanging="210"/>
            </w:pPr>
            <w:r w:rsidRPr="00AB0877">
              <w:rPr>
                <w:rFonts w:hint="eastAsia"/>
              </w:rPr>
              <w:t>・特定の職域の人材育成を目指すなど、「卒業認定・学位授与の方針」に照らして期待される進路がある学位プログラムにおいては、当該プログラムの卒業生数を分母とする当該進路への就職者の割合及び主な就職先</w:t>
            </w:r>
          </w:p>
          <w:p w14:paraId="51449FA7" w14:textId="36B2FE4E" w:rsidR="00994941" w:rsidRPr="00AB0877" w:rsidRDefault="00994941" w:rsidP="00994941">
            <w:pPr>
              <w:ind w:left="210" w:hanging="210"/>
            </w:pPr>
            <w:r>
              <w:rPr>
                <w:rFonts w:hint="eastAsia"/>
              </w:rPr>
              <w:t>（卒業生に対する評価や卒業生からの評価と併せて分析を行い、公表することが有益）</w:t>
            </w:r>
          </w:p>
          <w:p w14:paraId="152F9717" w14:textId="77777777" w:rsidR="0050520B" w:rsidRPr="00AB0877" w:rsidRDefault="0050520B" w:rsidP="00891E26">
            <w:pPr>
              <w:pStyle w:val="af9"/>
            </w:pPr>
            <w:r w:rsidRPr="00AB0877">
              <w:rPr>
                <w:rFonts w:hint="eastAsia"/>
                <w:shd w:val="pct15" w:color="auto" w:fill="FFFFFF"/>
              </w:rPr>
              <w:t>関連する法令等：</w:t>
            </w:r>
            <w:r w:rsidRPr="00AB0877">
              <w:rPr>
                <w:rFonts w:hint="eastAsia"/>
              </w:rPr>
              <w:t>規則第１７２条の２第１項第４号</w:t>
            </w:r>
          </w:p>
          <w:p w14:paraId="73E9AB32" w14:textId="39949BF3" w:rsidR="0050520B" w:rsidRPr="00AB0877" w:rsidRDefault="0050520B" w:rsidP="00891E26">
            <w:pPr>
              <w:pStyle w:val="af9"/>
            </w:pPr>
            <w:r w:rsidRPr="00AB0877">
              <w:rPr>
                <w:rFonts w:hint="eastAsia"/>
                <w:shd w:val="pct15" w:color="auto" w:fill="FFFFFF"/>
              </w:rPr>
              <w:t>関連する調査等：</w:t>
            </w:r>
            <w:r w:rsidRPr="00AB0877">
              <w:rPr>
                <w:rFonts w:hint="eastAsia"/>
              </w:rPr>
              <w:t>「大学等卒業者の就職状況調査</w:t>
            </w:r>
            <w:r w:rsidRPr="00AB0877">
              <w:rPr>
                <w:rStyle w:val="af5"/>
              </w:rPr>
              <w:footnoteReference w:id="1"/>
            </w:r>
            <w:r w:rsidRPr="00AB0877">
              <w:rPr>
                <w:rFonts w:hint="eastAsia"/>
              </w:rPr>
              <w:t>」</w:t>
            </w:r>
          </w:p>
        </w:tc>
        <w:tc>
          <w:tcPr>
            <w:tcW w:w="5886" w:type="dxa"/>
            <w:shd w:val="clear" w:color="auto" w:fill="auto"/>
            <w:vAlign w:val="center"/>
          </w:tcPr>
          <w:p w14:paraId="6EA4B21F" w14:textId="77777777" w:rsidR="0050520B" w:rsidRPr="00AB0877" w:rsidRDefault="0050520B" w:rsidP="00891E26">
            <w:pPr>
              <w:ind w:left="210" w:hanging="210"/>
            </w:pPr>
            <w:r w:rsidRPr="00AB0877">
              <w:rPr>
                <w:rFonts w:hint="eastAsia"/>
              </w:rPr>
              <w:t>・進路が決定した学生へのアンケート調査を通じて収集</w:t>
            </w:r>
          </w:p>
          <w:p w14:paraId="66598E74" w14:textId="3F524067" w:rsidR="0050520B" w:rsidRPr="00AB0877" w:rsidRDefault="0050520B" w:rsidP="00891E26">
            <w:pPr>
              <w:ind w:left="210" w:hanging="210"/>
            </w:pPr>
            <w:r w:rsidRPr="00AB0877">
              <w:rPr>
                <w:rFonts w:hint="eastAsia"/>
              </w:rPr>
              <w:t>・「卒業認定・学位授与の方針」に照らして期待される特定の進路の有無についてあらかじめ分析した上で、一致の程度について分析</w:t>
            </w:r>
          </w:p>
        </w:tc>
      </w:tr>
      <w:tr w:rsidR="0050520B" w:rsidRPr="00AB0877" w14:paraId="4F298011" w14:textId="77777777" w:rsidTr="00C128D6">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3C82E1D9" w14:textId="77777777" w:rsidR="0050520B" w:rsidRPr="00AB0877" w:rsidRDefault="0050520B" w:rsidP="009F3624">
            <w:pPr>
              <w:ind w:left="210" w:hanging="210"/>
            </w:pPr>
          </w:p>
        </w:tc>
        <w:tc>
          <w:tcPr>
            <w:tcW w:w="2948" w:type="dxa"/>
            <w:tcBorders>
              <w:left w:val="single" w:sz="4" w:space="0" w:color="auto"/>
              <w:right w:val="single" w:sz="4" w:space="0" w:color="auto"/>
            </w:tcBorders>
            <w:shd w:val="clear" w:color="auto" w:fill="auto"/>
            <w:vAlign w:val="center"/>
          </w:tcPr>
          <w:p w14:paraId="041F2292" w14:textId="73BAEC7F" w:rsidR="0050520B" w:rsidRPr="00AB0877" w:rsidRDefault="0050520B" w:rsidP="00CA009A">
            <w:pPr>
              <w:ind w:left="0" w:firstLineChars="0" w:firstLine="0"/>
            </w:pPr>
            <w:r w:rsidRPr="00AB0877">
              <w:rPr>
                <w:rFonts w:hint="eastAsia"/>
              </w:rPr>
              <w:t>修業年限期間内に卒業する学生の割合、留年率、中途退学率</w:t>
            </w:r>
          </w:p>
        </w:tc>
        <w:tc>
          <w:tcPr>
            <w:tcW w:w="5885" w:type="dxa"/>
            <w:tcBorders>
              <w:left w:val="single" w:sz="4" w:space="0" w:color="auto"/>
            </w:tcBorders>
            <w:shd w:val="clear" w:color="auto" w:fill="auto"/>
            <w:vAlign w:val="center"/>
          </w:tcPr>
          <w:p w14:paraId="650FC8AF" w14:textId="1CF52E52" w:rsidR="0050520B" w:rsidRPr="00AB0877" w:rsidRDefault="0050520B" w:rsidP="00CA009A">
            <w:pPr>
              <w:ind w:left="210" w:hanging="210"/>
            </w:pPr>
            <w:r w:rsidRPr="00AB0877">
              <w:rPr>
                <w:rFonts w:hint="eastAsia"/>
              </w:rPr>
              <w:t>・厳格な成績評価が行われていることを前提に、大学が、修業年限期間内において学生の資質・能力を計画的に伸ばし、学位の取得まで到達させていることを明らかにする</w:t>
            </w:r>
          </w:p>
          <w:p w14:paraId="397DDB42" w14:textId="2992C7DA" w:rsidR="0050520B" w:rsidRPr="00AB0877" w:rsidRDefault="0050520B" w:rsidP="00CA009A">
            <w:pPr>
              <w:ind w:left="210" w:hanging="210"/>
            </w:pPr>
            <w:r w:rsidRPr="00AB0877">
              <w:rPr>
                <w:rFonts w:hint="eastAsia"/>
              </w:rPr>
              <w:t>・履修単位の登録上限設定の状況やＧＰＡの活用状況と組み合わせて分析することで、大学が、密度の高い学修を可能とする環境を提供していることや、厳格な成績評価に基づく質の高い教育を提供していることを示すことができる重要な情報の一つとなる</w:t>
            </w:r>
          </w:p>
        </w:tc>
        <w:tc>
          <w:tcPr>
            <w:tcW w:w="5887" w:type="dxa"/>
            <w:shd w:val="clear" w:color="auto" w:fill="auto"/>
            <w:vAlign w:val="center"/>
          </w:tcPr>
          <w:p w14:paraId="2D95C257" w14:textId="77777777" w:rsidR="0050520B" w:rsidRPr="00AB0877" w:rsidRDefault="0050520B" w:rsidP="00CA009A">
            <w:pPr>
              <w:ind w:left="210" w:hanging="210"/>
            </w:pPr>
            <w:r w:rsidRPr="00AB0877">
              <w:rPr>
                <w:rFonts w:hint="eastAsia"/>
              </w:rPr>
              <w:t>・学位プログラム毎の、各年度における入学者の修業年限期間が満了した時点での卒業者、在学者、退学者の数と割合</w:t>
            </w:r>
          </w:p>
          <w:p w14:paraId="654D58F3" w14:textId="77777777" w:rsidR="0050520B" w:rsidRPr="00AB0877" w:rsidRDefault="0050520B" w:rsidP="00CA009A">
            <w:pPr>
              <w:ind w:left="210" w:hanging="210"/>
            </w:pPr>
            <w:r w:rsidRPr="00AB0877">
              <w:rPr>
                <w:rFonts w:hint="eastAsia"/>
              </w:rPr>
              <w:t>（公表の際には、単にこれらの情報のみを公表するのではなく、学位プログラムのカリキュラムの在り方や、履修単位の登録上限設定の状況、ＧＰＡの活用状況、留学の位置づけといった修業期間・成績評価に関連する情報や、積極的な進路変更（他大学への転学や他学部への転部など）の有無、退学の理由（大学に起因するものと大学に起因しないものの別など）も踏まえた分析を付することが望ましい。）</w:t>
            </w:r>
          </w:p>
          <w:p w14:paraId="71BD7F69" w14:textId="77777777" w:rsidR="0050520B" w:rsidRPr="00AB0877" w:rsidRDefault="0050520B" w:rsidP="00CA009A">
            <w:pPr>
              <w:pStyle w:val="af9"/>
            </w:pPr>
            <w:r w:rsidRPr="00AB0877">
              <w:rPr>
                <w:rFonts w:hint="eastAsia"/>
                <w:shd w:val="pct15" w:color="auto" w:fill="FFFFFF"/>
              </w:rPr>
              <w:t>関連する法令等：</w:t>
            </w:r>
            <w:r w:rsidRPr="00AB0877">
              <w:rPr>
                <w:rFonts w:hint="eastAsia"/>
              </w:rPr>
              <w:t>規則第１７２条の２第１項第４号</w:t>
            </w:r>
          </w:p>
          <w:p w14:paraId="2C5150DD" w14:textId="0A8956DB" w:rsidR="0050520B" w:rsidRPr="00AB0877" w:rsidRDefault="0050520B" w:rsidP="00571938">
            <w:pPr>
              <w:pStyle w:val="af9"/>
            </w:pPr>
            <w:r w:rsidRPr="00AB0877">
              <w:rPr>
                <w:rFonts w:hint="eastAsia"/>
                <w:shd w:val="pct15" w:color="auto" w:fill="FFFFFF"/>
              </w:rPr>
              <w:t>関連する調査等：</w:t>
            </w:r>
            <w:r w:rsidRPr="00AB0877">
              <w:rPr>
                <w:rFonts w:hint="eastAsia"/>
              </w:rPr>
              <w:t>「学校基本調査</w:t>
            </w:r>
            <w:r w:rsidRPr="00AB0877">
              <w:rPr>
                <w:rStyle w:val="af5"/>
              </w:rPr>
              <w:footnoteReference w:id="2"/>
            </w:r>
            <w:r w:rsidRPr="00AB0877">
              <w:rPr>
                <w:rFonts w:hint="eastAsia"/>
              </w:rPr>
              <w:t>」</w:t>
            </w:r>
          </w:p>
        </w:tc>
        <w:tc>
          <w:tcPr>
            <w:tcW w:w="5886" w:type="dxa"/>
            <w:shd w:val="clear" w:color="auto" w:fill="auto"/>
            <w:vAlign w:val="center"/>
          </w:tcPr>
          <w:p w14:paraId="4697F89D" w14:textId="01C2DED0" w:rsidR="0050520B" w:rsidRPr="00AB0877" w:rsidRDefault="0050520B" w:rsidP="00CA009A">
            <w:pPr>
              <w:ind w:left="210" w:hanging="210"/>
            </w:pPr>
            <w:r w:rsidRPr="00AB0877">
              <w:rPr>
                <w:rFonts w:hint="eastAsia"/>
              </w:rPr>
              <w:t>・教務履歴や学校基本調査の調査過程において収集</w:t>
            </w:r>
          </w:p>
        </w:tc>
      </w:tr>
      <w:tr w:rsidR="0050520B" w:rsidRPr="00AB0877" w14:paraId="3392FAC9" w14:textId="77777777" w:rsidTr="00EB02D3">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387FA197" w14:textId="77777777" w:rsidR="0050520B" w:rsidRPr="00AB0877" w:rsidRDefault="0050520B" w:rsidP="00EB02D3">
            <w:pPr>
              <w:ind w:left="0" w:firstLineChars="0" w:firstLine="0"/>
            </w:pPr>
          </w:p>
        </w:tc>
        <w:tc>
          <w:tcPr>
            <w:tcW w:w="2948" w:type="dxa"/>
            <w:tcBorders>
              <w:left w:val="single" w:sz="4" w:space="0" w:color="auto"/>
              <w:right w:val="single" w:sz="4" w:space="0" w:color="auto"/>
            </w:tcBorders>
            <w:shd w:val="clear" w:color="auto" w:fill="FFFFFF" w:themeFill="background1"/>
            <w:vAlign w:val="center"/>
          </w:tcPr>
          <w:p w14:paraId="1366F05B" w14:textId="77777777" w:rsidR="0050520B" w:rsidRPr="00AB0877" w:rsidRDefault="0050520B" w:rsidP="00EB02D3">
            <w:pPr>
              <w:ind w:left="0" w:firstLineChars="0" w:firstLine="0"/>
            </w:pPr>
            <w:r w:rsidRPr="00AB0877">
              <w:rPr>
                <w:rFonts w:hint="eastAsia"/>
              </w:rPr>
              <w:t>学修時間</w:t>
            </w:r>
          </w:p>
        </w:tc>
        <w:tc>
          <w:tcPr>
            <w:tcW w:w="5885" w:type="dxa"/>
            <w:tcBorders>
              <w:left w:val="single" w:sz="4" w:space="0" w:color="auto"/>
            </w:tcBorders>
            <w:shd w:val="clear" w:color="auto" w:fill="auto"/>
            <w:vAlign w:val="center"/>
          </w:tcPr>
          <w:p w14:paraId="6F1F8602" w14:textId="00C123C2" w:rsidR="0050520B" w:rsidRPr="00AB0877" w:rsidRDefault="0050520B" w:rsidP="00EB02D3">
            <w:pPr>
              <w:ind w:left="210" w:hanging="210"/>
            </w:pPr>
            <w:r w:rsidRPr="00AB0877">
              <w:rPr>
                <w:rFonts w:hint="eastAsia"/>
              </w:rPr>
              <w:t>・単位制度の趣旨を踏まえ、学生が授業内及び授業外で取り組む学修の平均時間を明らかにすることで、学生が、学位プログラムが期待する水準の資質・能力を身に付けるための一般的な前提条件を満たしている</w:t>
            </w:r>
            <w:r w:rsidRPr="000254C6">
              <w:rPr>
                <w:rFonts w:hint="eastAsia"/>
              </w:rPr>
              <w:t>か</w:t>
            </w:r>
            <w:r w:rsidR="00EE06B5" w:rsidRPr="000254C6">
              <w:rPr>
                <w:rFonts w:hint="eastAsia"/>
              </w:rPr>
              <w:t>について、全体的な状況</w:t>
            </w:r>
            <w:r w:rsidRPr="000254C6">
              <w:rPr>
                <w:rFonts w:hint="eastAsia"/>
              </w:rPr>
              <w:t>を明らかにする</w:t>
            </w:r>
          </w:p>
        </w:tc>
        <w:tc>
          <w:tcPr>
            <w:tcW w:w="5887" w:type="dxa"/>
            <w:shd w:val="clear" w:color="auto" w:fill="auto"/>
            <w:vAlign w:val="center"/>
          </w:tcPr>
          <w:p w14:paraId="2764E859" w14:textId="77777777" w:rsidR="0050520B" w:rsidRPr="00AB0877" w:rsidRDefault="0050520B" w:rsidP="00EB02D3">
            <w:pPr>
              <w:ind w:left="210" w:hanging="210"/>
            </w:pPr>
            <w:r w:rsidRPr="00AB0877">
              <w:rPr>
                <w:rFonts w:hint="eastAsia"/>
              </w:rPr>
              <w:t>・同一の学位プログラムに属するそれぞれの学生が、当該学位プログラムに関連する授業内外それぞれの学修に費やした時間の平均値及び分布その他の全体的な状況</w:t>
            </w:r>
          </w:p>
          <w:p w14:paraId="65326E47" w14:textId="70ABA3D7" w:rsidR="0050520B" w:rsidRDefault="0050520B" w:rsidP="00EB02D3">
            <w:pPr>
              <w:ind w:left="210" w:hanging="210"/>
            </w:pPr>
            <w:r w:rsidRPr="00AB0877">
              <w:rPr>
                <w:rFonts w:hint="eastAsia"/>
              </w:rPr>
              <w:t>（</w:t>
            </w:r>
            <w:r w:rsidR="00994941" w:rsidRPr="00AB0877">
              <w:rPr>
                <w:rFonts w:hint="eastAsia"/>
              </w:rPr>
              <w:t>各授業科目における到達目標の達成状況</w:t>
            </w:r>
            <w:r w:rsidRPr="00AB0877">
              <w:rPr>
                <w:rFonts w:hint="eastAsia"/>
              </w:rPr>
              <w:t>や履修単位の登録上限設定の状況と併せて分析を行い、公表することが有益）</w:t>
            </w:r>
          </w:p>
          <w:p w14:paraId="5ABD92BA" w14:textId="77777777" w:rsidR="0050520B" w:rsidRPr="00AB0877" w:rsidRDefault="0050520B" w:rsidP="00EB02D3">
            <w:pPr>
              <w:pStyle w:val="af9"/>
            </w:pPr>
            <w:r w:rsidRPr="00AB0877">
              <w:rPr>
                <w:rFonts w:hint="eastAsia"/>
                <w:shd w:val="pct15" w:color="auto" w:fill="FFFFFF"/>
              </w:rPr>
              <w:t>関連する法令等：</w:t>
            </w:r>
            <w:r>
              <w:rPr>
                <w:rFonts w:hint="eastAsia"/>
              </w:rPr>
              <w:t>基準第２１条</w:t>
            </w:r>
          </w:p>
        </w:tc>
        <w:tc>
          <w:tcPr>
            <w:tcW w:w="5886" w:type="dxa"/>
            <w:shd w:val="clear" w:color="auto" w:fill="auto"/>
            <w:vAlign w:val="center"/>
          </w:tcPr>
          <w:p w14:paraId="35B2C9DB" w14:textId="77777777" w:rsidR="0050520B" w:rsidRPr="00AB0877" w:rsidRDefault="0050520B" w:rsidP="00EB02D3">
            <w:pPr>
              <w:ind w:left="210" w:hanging="210"/>
            </w:pPr>
            <w:r w:rsidRPr="00AB0877">
              <w:rPr>
                <w:rFonts w:hint="eastAsia"/>
              </w:rPr>
              <w:t>・学生へのアンケート調査を通じた収集</w:t>
            </w:r>
          </w:p>
          <w:p w14:paraId="26F699B2" w14:textId="77777777" w:rsidR="0050520B" w:rsidRPr="00AB0877" w:rsidRDefault="0050520B" w:rsidP="00EB02D3">
            <w:pPr>
              <w:ind w:left="210" w:hanging="210"/>
            </w:pPr>
            <w:r w:rsidRPr="00AB0877">
              <w:rPr>
                <w:rFonts w:hint="eastAsia"/>
              </w:rPr>
              <w:t>（※）今後新たに調査・収集を行う大学においては、例えば以下のような手法での調査・収集が考えられる。</w:t>
            </w:r>
          </w:p>
          <w:p w14:paraId="5D7311E9" w14:textId="77777777" w:rsidR="0050520B" w:rsidRDefault="0050520B" w:rsidP="00EB02D3">
            <w:pPr>
              <w:ind w:left="630" w:hangingChars="300" w:hanging="630"/>
            </w:pPr>
            <w:r w:rsidRPr="00AB0877">
              <w:rPr>
                <w:rFonts w:hint="eastAsia"/>
              </w:rPr>
              <w:t xml:space="preserve">　　・学修時間の集計単位：１時間単位での把握</w:t>
            </w:r>
          </w:p>
          <w:p w14:paraId="22830617" w14:textId="77777777" w:rsidR="0050520B" w:rsidRPr="00AB0877" w:rsidRDefault="0050520B" w:rsidP="00EB02D3">
            <w:pPr>
              <w:ind w:left="630" w:hangingChars="300" w:hanging="630"/>
            </w:pPr>
            <w:r w:rsidRPr="00AB0877">
              <w:rPr>
                <w:rFonts w:hint="eastAsia"/>
              </w:rPr>
              <w:t xml:space="preserve">　　・集計期間の選定：試験直前期や長期休暇期間などを除く平均的な一週間における学修時間</w:t>
            </w:r>
          </w:p>
          <w:p w14:paraId="178D7028" w14:textId="77777777" w:rsidR="0050520B" w:rsidRPr="00AB0877" w:rsidRDefault="0050520B" w:rsidP="00EB02D3">
            <w:pPr>
              <w:ind w:left="210" w:hanging="210"/>
            </w:pPr>
            <w:r w:rsidRPr="00AB0877">
              <w:rPr>
                <w:rFonts w:hint="eastAsia"/>
              </w:rPr>
              <w:t>（※）学修時間以外の生活時間の調査についても、学修成果・教育成果の把握・可視化の観点から併せて行うことも考えられる</w:t>
            </w:r>
          </w:p>
          <w:p w14:paraId="2814732B" w14:textId="77777777" w:rsidR="0050520B" w:rsidRPr="00AB0877" w:rsidRDefault="0050520B" w:rsidP="00EB02D3">
            <w:pPr>
              <w:ind w:left="210" w:hanging="210"/>
            </w:pPr>
            <w:r w:rsidRPr="00AB0877">
              <w:rPr>
                <w:rFonts w:hint="eastAsia"/>
              </w:rPr>
              <w:t>・教務システム等を活用した個々の学生の授業科目の履修履歴の収集</w:t>
            </w:r>
          </w:p>
        </w:tc>
      </w:tr>
    </w:tbl>
    <w:p w14:paraId="4EA9DF20" w14:textId="77777777" w:rsidR="00760BC7" w:rsidRDefault="00760BC7">
      <w:pPr>
        <w:ind w:left="210" w:hanging="210"/>
      </w:pPr>
      <w:r>
        <w:br w:type="page"/>
      </w:r>
    </w:p>
    <w:tbl>
      <w:tblPr>
        <w:tblStyle w:val="af8"/>
        <w:tblW w:w="21286" w:type="dxa"/>
        <w:tblInd w:w="240" w:type="dxa"/>
        <w:tblCellMar>
          <w:top w:w="28" w:type="dxa"/>
          <w:bottom w:w="28" w:type="dxa"/>
        </w:tblCellMar>
        <w:tblLook w:val="04A0" w:firstRow="1" w:lastRow="0" w:firstColumn="1" w:lastColumn="0" w:noHBand="0" w:noVBand="1"/>
      </w:tblPr>
      <w:tblGrid>
        <w:gridCol w:w="680"/>
        <w:gridCol w:w="2948"/>
        <w:gridCol w:w="5885"/>
        <w:gridCol w:w="5887"/>
        <w:gridCol w:w="5886"/>
      </w:tblGrid>
      <w:tr w:rsidR="00760BC7" w:rsidRPr="00AB0877" w14:paraId="55B5F0C7" w14:textId="77777777" w:rsidTr="00760BC7">
        <w:trPr>
          <w:trHeight w:val="300"/>
          <w:tblHeader/>
        </w:trPr>
        <w:tc>
          <w:tcPr>
            <w:tcW w:w="36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BE1CF5" w14:textId="6D00A254" w:rsidR="00760BC7" w:rsidRPr="00760BC7" w:rsidRDefault="00760BC7" w:rsidP="00760BC7">
            <w:pPr>
              <w:ind w:left="0" w:firstLineChars="0" w:firstLine="0"/>
              <w:jc w:val="center"/>
            </w:pPr>
            <w:r w:rsidRPr="00AB0877">
              <w:rPr>
                <w:rFonts w:hint="eastAsia"/>
                <w:b/>
              </w:rPr>
              <w:lastRenderedPageBreak/>
              <w:t>情報</w:t>
            </w:r>
          </w:p>
        </w:tc>
        <w:tc>
          <w:tcPr>
            <w:tcW w:w="5885" w:type="dxa"/>
            <w:tcBorders>
              <w:left w:val="single" w:sz="4" w:space="0" w:color="auto"/>
            </w:tcBorders>
            <w:shd w:val="clear" w:color="auto" w:fill="BFBFBF" w:themeFill="background1" w:themeFillShade="BF"/>
            <w:vAlign w:val="center"/>
          </w:tcPr>
          <w:p w14:paraId="3E69DC3D" w14:textId="4C606CE5" w:rsidR="00760BC7" w:rsidRPr="00AB0877" w:rsidRDefault="00760BC7" w:rsidP="00760BC7">
            <w:pPr>
              <w:ind w:left="211" w:hanging="211"/>
              <w:jc w:val="center"/>
            </w:pPr>
            <w:r w:rsidRPr="00AB0877">
              <w:rPr>
                <w:rFonts w:hint="eastAsia"/>
                <w:b/>
              </w:rPr>
              <w:t>①公表の意義</w:t>
            </w:r>
          </w:p>
        </w:tc>
        <w:tc>
          <w:tcPr>
            <w:tcW w:w="5887" w:type="dxa"/>
            <w:shd w:val="clear" w:color="auto" w:fill="BFBFBF" w:themeFill="background1" w:themeFillShade="BF"/>
            <w:vAlign w:val="center"/>
          </w:tcPr>
          <w:p w14:paraId="7E32E5F3" w14:textId="2A3E7B1D" w:rsidR="00760BC7" w:rsidRPr="00AB0877" w:rsidRDefault="00760BC7" w:rsidP="00760BC7">
            <w:pPr>
              <w:ind w:left="211" w:hanging="211"/>
              <w:jc w:val="center"/>
            </w:pPr>
            <w:r w:rsidRPr="00AB0877">
              <w:rPr>
                <w:rFonts w:hint="eastAsia"/>
                <w:b/>
              </w:rPr>
              <w:t>②公表することが考えられる内容</w:t>
            </w:r>
          </w:p>
        </w:tc>
        <w:tc>
          <w:tcPr>
            <w:tcW w:w="5886" w:type="dxa"/>
            <w:shd w:val="clear" w:color="auto" w:fill="BFBFBF" w:themeFill="background1" w:themeFillShade="BF"/>
            <w:vAlign w:val="center"/>
          </w:tcPr>
          <w:p w14:paraId="01AC9AA9" w14:textId="3A05CCEB" w:rsidR="00760BC7" w:rsidRPr="00AB0877" w:rsidRDefault="00760BC7" w:rsidP="00760BC7">
            <w:pPr>
              <w:ind w:left="211" w:hanging="211"/>
              <w:jc w:val="center"/>
            </w:pPr>
            <w:r w:rsidRPr="00AB0877">
              <w:rPr>
                <w:rFonts w:hint="eastAsia"/>
                <w:b/>
              </w:rPr>
              <w:t>③公表する情報の収集等の方法</w:t>
            </w:r>
          </w:p>
        </w:tc>
      </w:tr>
      <w:tr w:rsidR="00EE06B5" w:rsidRPr="00AB0877" w14:paraId="3DFE87E3" w14:textId="77777777" w:rsidTr="00C128D6">
        <w:trPr>
          <w:trHeight w:val="567"/>
        </w:trPr>
        <w:tc>
          <w:tcPr>
            <w:tcW w:w="680" w:type="dxa"/>
            <w:vMerge w:val="restart"/>
            <w:tcBorders>
              <w:left w:val="single" w:sz="4" w:space="0" w:color="auto"/>
              <w:right w:val="single" w:sz="4" w:space="0" w:color="auto"/>
            </w:tcBorders>
            <w:shd w:val="clear" w:color="auto" w:fill="FFFFFF" w:themeFill="background1"/>
            <w:textDirection w:val="tbRlV"/>
            <w:vAlign w:val="center"/>
          </w:tcPr>
          <w:p w14:paraId="5C55AA5F" w14:textId="4D26C73D" w:rsidR="00EE06B5" w:rsidRPr="00AB0877" w:rsidRDefault="00EE06B5" w:rsidP="00EE06B5">
            <w:pPr>
              <w:ind w:left="210" w:hanging="210"/>
              <w:jc w:val="center"/>
            </w:pPr>
            <w:r w:rsidRPr="00AB0877">
              <w:rPr>
                <w:rFonts w:hint="eastAsia"/>
              </w:rPr>
              <w:t>②教学マネジメントを確立する上で各大学の判断の下で収集することが想定される情報</w:t>
            </w:r>
          </w:p>
        </w:tc>
        <w:tc>
          <w:tcPr>
            <w:tcW w:w="2948" w:type="dxa"/>
            <w:tcBorders>
              <w:left w:val="single" w:sz="4" w:space="0" w:color="auto"/>
              <w:right w:val="single" w:sz="4" w:space="0" w:color="auto"/>
            </w:tcBorders>
            <w:shd w:val="clear" w:color="auto" w:fill="FFFFFF" w:themeFill="background1"/>
            <w:vAlign w:val="center"/>
          </w:tcPr>
          <w:p w14:paraId="5D75DBF2" w14:textId="6EC755CA" w:rsidR="00EE06B5" w:rsidRPr="00AB0877" w:rsidRDefault="00EE06B5" w:rsidP="00EE06B5">
            <w:pPr>
              <w:ind w:left="0" w:firstLineChars="0" w:firstLine="0"/>
            </w:pPr>
            <w:r>
              <w:rPr>
                <w:rFonts w:hint="eastAsia"/>
              </w:rPr>
              <w:t>「</w:t>
            </w:r>
            <w:r w:rsidRPr="00AB0877">
              <w:rPr>
                <w:rFonts w:hint="eastAsia"/>
              </w:rPr>
              <w:t>卒業認定・学位授与の方針」に定められた特定の資質・能力の修得状況を直接的に評価することができる授業科目</w:t>
            </w:r>
            <w:r>
              <w:rPr>
                <w:rFonts w:hint="eastAsia"/>
              </w:rPr>
              <w:t>における到達目標の達成状況</w:t>
            </w:r>
          </w:p>
        </w:tc>
        <w:tc>
          <w:tcPr>
            <w:tcW w:w="5885" w:type="dxa"/>
            <w:tcBorders>
              <w:left w:val="single" w:sz="4" w:space="0" w:color="auto"/>
            </w:tcBorders>
            <w:shd w:val="clear" w:color="auto" w:fill="auto"/>
            <w:vAlign w:val="center"/>
          </w:tcPr>
          <w:p w14:paraId="291605FC" w14:textId="77777777" w:rsidR="00EE06B5" w:rsidRDefault="00EE06B5" w:rsidP="00EE06B5">
            <w:pPr>
              <w:ind w:left="210" w:hanging="210"/>
            </w:pPr>
            <w:r w:rsidRPr="007562E3">
              <w:rPr>
                <w:rFonts w:hint="eastAsia"/>
              </w:rPr>
              <w:t>・</w:t>
            </w:r>
            <w:r>
              <w:rPr>
                <w:rFonts w:hint="eastAsia"/>
              </w:rPr>
              <w:t>学生が、</w:t>
            </w:r>
            <w:r w:rsidRPr="007562E3">
              <w:rPr>
                <w:rFonts w:hint="eastAsia"/>
              </w:rPr>
              <w:t>「卒業認定・学位授与の方針」に定められた資質・能力</w:t>
            </w:r>
            <w:r>
              <w:rPr>
                <w:rFonts w:hint="eastAsia"/>
              </w:rPr>
              <w:t>のうち、左記の科目により直接的に評価することができるもの</w:t>
            </w:r>
            <w:r w:rsidRPr="007562E3">
              <w:rPr>
                <w:rFonts w:hint="eastAsia"/>
              </w:rPr>
              <w:t>をどの程度の水準で備えているか</w:t>
            </w:r>
            <w:r>
              <w:rPr>
                <w:rFonts w:hint="eastAsia"/>
              </w:rPr>
              <w:t>について、全体的な状況</w:t>
            </w:r>
            <w:r w:rsidRPr="007562E3">
              <w:rPr>
                <w:rFonts w:hint="eastAsia"/>
              </w:rPr>
              <w:t>を明らかにする</w:t>
            </w:r>
          </w:p>
          <w:p w14:paraId="0D83C02A" w14:textId="4CF04AA5" w:rsidR="00EE06B5" w:rsidRPr="00AB0877" w:rsidRDefault="00EE06B5" w:rsidP="00EE06B5">
            <w:pPr>
              <w:ind w:left="210" w:hanging="210"/>
            </w:pPr>
            <w:r>
              <w:rPr>
                <w:rFonts w:hint="eastAsia"/>
              </w:rPr>
              <w:t>・学生が、「卒業認定・学位授与の方針」に定められた資質・能力のうち左記の科目により直接的に評価することができるものを獲得してゆく過程について、全体的な状況を明らかにする</w:t>
            </w:r>
          </w:p>
        </w:tc>
        <w:tc>
          <w:tcPr>
            <w:tcW w:w="5887" w:type="dxa"/>
            <w:shd w:val="clear" w:color="auto" w:fill="auto"/>
            <w:vAlign w:val="center"/>
          </w:tcPr>
          <w:p w14:paraId="6CC23048" w14:textId="77777777" w:rsidR="00EE06B5" w:rsidRDefault="00EE06B5" w:rsidP="00EE06B5">
            <w:pPr>
              <w:ind w:left="210" w:hanging="210"/>
            </w:pPr>
            <w:r>
              <w:rPr>
                <w:rFonts w:hint="eastAsia"/>
              </w:rPr>
              <w:t>・左記の授業科目の</w:t>
            </w:r>
            <w:r w:rsidRPr="007562E3">
              <w:rPr>
                <w:rFonts w:hint="eastAsia"/>
              </w:rPr>
              <w:t>科目名、到達目標、到達目標と「卒業認定・学位授与の方針」との対応関係、成績評価基準</w:t>
            </w:r>
            <w:r>
              <w:rPr>
                <w:rFonts w:hint="eastAsia"/>
              </w:rPr>
              <w:t>及び</w:t>
            </w:r>
            <w:r w:rsidRPr="007562E3">
              <w:rPr>
                <w:rFonts w:hint="eastAsia"/>
              </w:rPr>
              <w:t>成績評価手法</w:t>
            </w:r>
          </w:p>
          <w:p w14:paraId="126FB84B" w14:textId="70C3363C" w:rsidR="00EE06B5" w:rsidRPr="003D5280" w:rsidRDefault="00EE06B5" w:rsidP="00EE06B5">
            <w:pPr>
              <w:ind w:left="210" w:hanging="210"/>
            </w:pPr>
            <w:r>
              <w:rPr>
                <w:rFonts w:hint="eastAsia"/>
              </w:rPr>
              <w:t>・「卒業認定・学位授与の方針」に定められた資質・能力のうち、左記の授業科目により直接的に測定することができるものの達成状況に関する全体的な状況</w:t>
            </w:r>
          </w:p>
        </w:tc>
        <w:tc>
          <w:tcPr>
            <w:tcW w:w="5886" w:type="dxa"/>
            <w:shd w:val="clear" w:color="auto" w:fill="auto"/>
            <w:vAlign w:val="center"/>
          </w:tcPr>
          <w:p w14:paraId="62FDCF17" w14:textId="26B68B33" w:rsidR="00EE06B5" w:rsidRPr="00AB0877" w:rsidRDefault="00EE06B5" w:rsidP="00EE06B5">
            <w:pPr>
              <w:ind w:left="210" w:hanging="210"/>
            </w:pPr>
            <w:r>
              <w:rPr>
                <w:rFonts w:hint="eastAsia"/>
              </w:rPr>
              <w:t>・教務システム等を活用した個々の学生の授業科目の履修履歴の収集</w:t>
            </w:r>
          </w:p>
        </w:tc>
      </w:tr>
      <w:tr w:rsidR="00EE06B5" w:rsidRPr="00AB0877" w14:paraId="2328D9F5" w14:textId="77777777" w:rsidTr="00C128D6">
        <w:trPr>
          <w:trHeight w:val="567"/>
        </w:trPr>
        <w:tc>
          <w:tcPr>
            <w:tcW w:w="680" w:type="dxa"/>
            <w:vMerge/>
            <w:tcBorders>
              <w:left w:val="single" w:sz="4" w:space="0" w:color="auto"/>
              <w:right w:val="single" w:sz="4" w:space="0" w:color="auto"/>
            </w:tcBorders>
            <w:shd w:val="clear" w:color="auto" w:fill="FFFFFF" w:themeFill="background1"/>
            <w:textDirection w:val="tbRlV"/>
            <w:vAlign w:val="center"/>
          </w:tcPr>
          <w:p w14:paraId="42B62F22" w14:textId="76E5136A" w:rsidR="00EE06B5" w:rsidRPr="00AB0877" w:rsidRDefault="00EE06B5" w:rsidP="00EE06B5">
            <w:pPr>
              <w:ind w:left="210" w:hanging="210"/>
              <w:jc w:val="center"/>
            </w:pPr>
          </w:p>
        </w:tc>
        <w:tc>
          <w:tcPr>
            <w:tcW w:w="2948" w:type="dxa"/>
            <w:tcBorders>
              <w:left w:val="single" w:sz="4" w:space="0" w:color="auto"/>
              <w:right w:val="single" w:sz="4" w:space="0" w:color="auto"/>
            </w:tcBorders>
            <w:shd w:val="clear" w:color="auto" w:fill="FFFFFF" w:themeFill="background1"/>
            <w:vAlign w:val="center"/>
          </w:tcPr>
          <w:p w14:paraId="623B0231" w14:textId="34B38C64" w:rsidR="00EE06B5" w:rsidRPr="00AB0877" w:rsidRDefault="00EE06B5" w:rsidP="00EE06B5">
            <w:pPr>
              <w:ind w:left="0" w:firstLineChars="0" w:firstLine="0"/>
            </w:pPr>
            <w:r w:rsidRPr="00AB0877">
              <w:rPr>
                <w:rFonts w:hint="eastAsia"/>
              </w:rPr>
              <w:t>卒業論文・卒業研究の水準</w:t>
            </w:r>
          </w:p>
        </w:tc>
        <w:tc>
          <w:tcPr>
            <w:tcW w:w="5885" w:type="dxa"/>
            <w:tcBorders>
              <w:left w:val="single" w:sz="4" w:space="0" w:color="auto"/>
            </w:tcBorders>
            <w:shd w:val="clear" w:color="auto" w:fill="auto"/>
            <w:vAlign w:val="center"/>
          </w:tcPr>
          <w:p w14:paraId="274AF962" w14:textId="77777777" w:rsidR="00EE06B5" w:rsidRDefault="00EE06B5" w:rsidP="00EE06B5">
            <w:pPr>
              <w:ind w:left="210" w:hanging="210"/>
            </w:pPr>
            <w:r>
              <w:rPr>
                <w:rFonts w:hint="eastAsia"/>
              </w:rPr>
              <w:t>・学生が、学位プログラムが提供する教育の集大成として、どのようなテーマの卒業論文作成・卒業研究実施に取り組んでいるかを明らかにする</w:t>
            </w:r>
          </w:p>
          <w:p w14:paraId="024DDDDA" w14:textId="05714F90" w:rsidR="00EE06B5" w:rsidRDefault="00EE06B5" w:rsidP="00EE06B5">
            <w:pPr>
              <w:ind w:left="210" w:hanging="210"/>
            </w:pPr>
            <w:r>
              <w:rPr>
                <w:rFonts w:hint="eastAsia"/>
              </w:rPr>
              <w:t>・学生が、「卒業認定・学位授与の方針」に定められた専門教育に係る資質・能力を総合的にどの程度の水準で身に付けることができているかについて、全体的な状況を明らかにする</w:t>
            </w:r>
          </w:p>
          <w:p w14:paraId="228F41B9" w14:textId="00449EFC" w:rsidR="00EE06B5" w:rsidRPr="00AB0877" w:rsidRDefault="00EE06B5" w:rsidP="00EE06B5">
            <w:pPr>
              <w:ind w:left="210" w:hanging="210"/>
            </w:pPr>
            <w:r>
              <w:rPr>
                <w:rFonts w:hint="eastAsia"/>
              </w:rPr>
              <w:t>・</w:t>
            </w:r>
            <w:r w:rsidRPr="007562E3">
              <w:rPr>
                <w:rFonts w:hint="eastAsia"/>
              </w:rPr>
              <w:t>専門教育に係る資質・能力以外のものについても、学位プログラムが提供する教育の集大成である卒業論文作成・卒業研究実施の過程で行われる学生の様々な活動を通じて「卒業認定・学位授与の方針」に定められた資質・能力を直接的に測定することができる場合には、当該資質・能力をどの程度の水準で身に付けているか</w:t>
            </w:r>
            <w:r>
              <w:rPr>
                <w:rFonts w:hint="eastAsia"/>
              </w:rPr>
              <w:t>について、全体的な状況を</w:t>
            </w:r>
            <w:r w:rsidRPr="007562E3">
              <w:rPr>
                <w:rFonts w:hint="eastAsia"/>
              </w:rPr>
              <w:t>明らかにすることができる</w:t>
            </w:r>
          </w:p>
        </w:tc>
        <w:tc>
          <w:tcPr>
            <w:tcW w:w="5887" w:type="dxa"/>
            <w:shd w:val="clear" w:color="auto" w:fill="auto"/>
            <w:vAlign w:val="center"/>
          </w:tcPr>
          <w:p w14:paraId="38F24A9A" w14:textId="77777777" w:rsidR="00EE06B5" w:rsidRDefault="00EE06B5" w:rsidP="00EE06B5">
            <w:pPr>
              <w:ind w:left="210" w:hanging="210"/>
            </w:pPr>
            <w:r>
              <w:rPr>
                <w:rFonts w:hint="eastAsia"/>
              </w:rPr>
              <w:t>・卒業論文・卒業研究に取り組んでいる学生の人数と割合</w:t>
            </w:r>
          </w:p>
          <w:p w14:paraId="4224CC1D" w14:textId="77777777" w:rsidR="00EE06B5" w:rsidRDefault="00EE06B5" w:rsidP="00EE06B5">
            <w:pPr>
              <w:ind w:left="210" w:hanging="210"/>
            </w:pPr>
            <w:r>
              <w:rPr>
                <w:rFonts w:hint="eastAsia"/>
              </w:rPr>
              <w:t>・卒業論文・卒業研究の代表的なテーマ</w:t>
            </w:r>
          </w:p>
          <w:p w14:paraId="18B74A08" w14:textId="77777777" w:rsidR="00EE06B5" w:rsidRDefault="00EE06B5" w:rsidP="00EE06B5">
            <w:pPr>
              <w:ind w:left="210" w:hanging="210"/>
            </w:pPr>
            <w:r>
              <w:rPr>
                <w:rFonts w:hint="eastAsia"/>
              </w:rPr>
              <w:t>・同一の学位プログラムに属するそれぞれの学生の卒業論文・卒業研究に対する評価基準（専門教育に係る資質・能力やその他の資質・能力に対する基準を含む）</w:t>
            </w:r>
          </w:p>
          <w:p w14:paraId="44B51E64" w14:textId="4A9FD20C" w:rsidR="00EE06B5" w:rsidRPr="00AB0877" w:rsidRDefault="00EE06B5" w:rsidP="00EE06B5">
            <w:pPr>
              <w:ind w:left="210" w:hanging="210"/>
              <w:rPr>
                <w:rFonts w:eastAsia="SimSun"/>
              </w:rPr>
            </w:pPr>
            <w:r>
              <w:rPr>
                <w:rFonts w:hint="eastAsia"/>
              </w:rPr>
              <w:t>・卒業論文・卒業研究に対する評価の平均値及び分布その他の全体の状況</w:t>
            </w:r>
          </w:p>
        </w:tc>
        <w:tc>
          <w:tcPr>
            <w:tcW w:w="5886" w:type="dxa"/>
            <w:shd w:val="clear" w:color="auto" w:fill="auto"/>
            <w:vAlign w:val="center"/>
          </w:tcPr>
          <w:p w14:paraId="60D297B7" w14:textId="77777777" w:rsidR="00EE06B5" w:rsidRDefault="00EE06B5" w:rsidP="00EE06B5">
            <w:pPr>
              <w:ind w:left="210" w:hanging="210"/>
            </w:pPr>
            <w:r>
              <w:rPr>
                <w:rFonts w:hint="eastAsia"/>
              </w:rPr>
              <w:t>・学内調査による代表的なテーマの収集</w:t>
            </w:r>
          </w:p>
          <w:p w14:paraId="0A131FD3" w14:textId="77777777" w:rsidR="00EE06B5" w:rsidRDefault="00EE06B5" w:rsidP="00EE06B5">
            <w:pPr>
              <w:ind w:left="210" w:hanging="210"/>
            </w:pPr>
            <w:r>
              <w:rPr>
                <w:rFonts w:hint="eastAsia"/>
              </w:rPr>
              <w:t>・卒業論文・卒業研究の評価により明らかにすることができる資質・能力と「卒業認定・学位授与の方針」に定められた資質・能力のうち専門教育に係る資質・能力との関係の整理</w:t>
            </w:r>
          </w:p>
          <w:p w14:paraId="735BC887" w14:textId="1AB89B0D" w:rsidR="00EE06B5" w:rsidRPr="00AB0877" w:rsidRDefault="00EE06B5" w:rsidP="00EE06B5">
            <w:pPr>
              <w:ind w:left="210" w:hanging="210"/>
            </w:pPr>
            <w:r>
              <w:rPr>
                <w:rFonts w:hint="eastAsia"/>
              </w:rPr>
              <w:t>・卒業論文作成・卒業研究実施の成果物に対する指導教員等の評価基準・評価手法の収集</w:t>
            </w:r>
          </w:p>
        </w:tc>
      </w:tr>
      <w:tr w:rsidR="00EE06B5" w:rsidRPr="00AB0877" w14:paraId="560851AB" w14:textId="77777777" w:rsidTr="00C128D6">
        <w:trPr>
          <w:trHeight w:val="567"/>
        </w:trPr>
        <w:tc>
          <w:tcPr>
            <w:tcW w:w="680" w:type="dxa"/>
            <w:vMerge/>
            <w:tcBorders>
              <w:left w:val="single" w:sz="4" w:space="0" w:color="auto"/>
              <w:right w:val="single" w:sz="4" w:space="0" w:color="auto"/>
            </w:tcBorders>
            <w:shd w:val="clear" w:color="auto" w:fill="FFFFFF" w:themeFill="background1"/>
            <w:vAlign w:val="center"/>
          </w:tcPr>
          <w:p w14:paraId="5285D6A4" w14:textId="77777777" w:rsidR="00EE06B5" w:rsidRPr="00AB0877" w:rsidRDefault="00EE06B5" w:rsidP="00EE06B5">
            <w:pPr>
              <w:ind w:left="210" w:hanging="210"/>
            </w:pPr>
          </w:p>
        </w:tc>
        <w:tc>
          <w:tcPr>
            <w:tcW w:w="2948" w:type="dxa"/>
            <w:tcBorders>
              <w:left w:val="single" w:sz="4" w:space="0" w:color="auto"/>
              <w:right w:val="single" w:sz="4" w:space="0" w:color="auto"/>
            </w:tcBorders>
            <w:shd w:val="clear" w:color="auto" w:fill="FFFFFF" w:themeFill="background1"/>
            <w:vAlign w:val="center"/>
          </w:tcPr>
          <w:p w14:paraId="73882306" w14:textId="671DA08F" w:rsidR="00EE06B5" w:rsidRPr="00AB0877" w:rsidRDefault="00EE06B5" w:rsidP="00EE06B5">
            <w:pPr>
              <w:ind w:left="0" w:firstLineChars="0" w:firstLine="0"/>
            </w:pPr>
            <w:r w:rsidRPr="00AB0877">
              <w:rPr>
                <w:rFonts w:hint="eastAsia"/>
              </w:rPr>
              <w:t>アセスメントテストの結果</w:t>
            </w:r>
          </w:p>
        </w:tc>
        <w:tc>
          <w:tcPr>
            <w:tcW w:w="5885" w:type="dxa"/>
            <w:tcBorders>
              <w:left w:val="single" w:sz="4" w:space="0" w:color="auto"/>
            </w:tcBorders>
            <w:shd w:val="clear" w:color="auto" w:fill="auto"/>
            <w:vAlign w:val="center"/>
          </w:tcPr>
          <w:p w14:paraId="35F1BB8C" w14:textId="77777777" w:rsidR="00EE06B5" w:rsidRDefault="00EE06B5" w:rsidP="00EE06B5">
            <w:pPr>
              <w:ind w:left="210" w:hanging="210"/>
            </w:pPr>
            <w:r>
              <w:rPr>
                <w:rFonts w:hint="eastAsia"/>
              </w:rPr>
              <w:t>・学生が、当該アセスメントテストにより測定することができる資質・能力をどの程度の水準で獲得できているかについて、全体的な状況を明らかにする</w:t>
            </w:r>
          </w:p>
          <w:p w14:paraId="48B48807" w14:textId="15B4ACEC" w:rsidR="00EE06B5" w:rsidRPr="00AB0877" w:rsidRDefault="00EE06B5" w:rsidP="00EE06B5">
            <w:pPr>
              <w:ind w:left="210" w:hanging="210"/>
            </w:pPr>
            <w:r>
              <w:rPr>
                <w:rFonts w:hint="eastAsia"/>
              </w:rPr>
              <w:t>・「卒業認定・学位授与の方針」に定められた資質・能力を直接的に測定することができる場合には、学生が、当該資質・能力をどの程度の水準で身に付けることができているかについて、全体的な状況を明らかにすることができる</w:t>
            </w:r>
          </w:p>
        </w:tc>
        <w:tc>
          <w:tcPr>
            <w:tcW w:w="5887" w:type="dxa"/>
            <w:shd w:val="clear" w:color="auto" w:fill="auto"/>
            <w:vAlign w:val="center"/>
          </w:tcPr>
          <w:p w14:paraId="632C9CA7" w14:textId="77777777" w:rsidR="00EE06B5" w:rsidRDefault="00EE06B5" w:rsidP="00EE06B5">
            <w:pPr>
              <w:ind w:left="210" w:hanging="210"/>
            </w:pPr>
            <w:r>
              <w:rPr>
                <w:rFonts w:hint="eastAsia"/>
              </w:rPr>
              <w:t>・アセスメントテストにより測定することができる資質・能力と「卒業認定・学位授与の方針」に定められた資質・能力との関係（アセスメントテストにより測定することができる資質・能力は、「卒業認定・学位授与の方針」に定められた資質・能力を直接的に測定できるものか、当該資質・能力のエビデンスの一つとして用いることができるものか、等）</w:t>
            </w:r>
          </w:p>
          <w:p w14:paraId="1E2AD323" w14:textId="4182A875" w:rsidR="00EE06B5" w:rsidRPr="00AB0877" w:rsidRDefault="00EE06B5" w:rsidP="00EE06B5">
            <w:pPr>
              <w:ind w:left="210" w:hanging="210"/>
            </w:pPr>
            <w:r>
              <w:rPr>
                <w:rFonts w:hint="eastAsia"/>
              </w:rPr>
              <w:t>・同一の学位プログラムに属する学生の受験状況並びに結果の平均値及び分布状況その他の全体的な状況</w:t>
            </w:r>
          </w:p>
        </w:tc>
        <w:tc>
          <w:tcPr>
            <w:tcW w:w="5886" w:type="dxa"/>
            <w:shd w:val="clear" w:color="auto" w:fill="auto"/>
            <w:vAlign w:val="center"/>
          </w:tcPr>
          <w:p w14:paraId="32A7222A" w14:textId="77777777" w:rsidR="00EE06B5" w:rsidRDefault="00EE06B5" w:rsidP="00EE06B5">
            <w:pPr>
              <w:ind w:left="210" w:hanging="210"/>
            </w:pPr>
            <w:r>
              <w:rPr>
                <w:rFonts w:hint="eastAsia"/>
              </w:rPr>
              <w:t>・アセスメントテストにより測定することができる資質・能力と「卒業認定・学位授与の方針」に定められた資質・能力との関係の整理</w:t>
            </w:r>
          </w:p>
          <w:p w14:paraId="50D665C5" w14:textId="77777777" w:rsidR="00EE06B5" w:rsidRDefault="00EE06B5" w:rsidP="00EE06B5">
            <w:pPr>
              <w:ind w:left="210" w:hanging="210"/>
            </w:pPr>
            <w:r>
              <w:rPr>
                <w:rFonts w:hint="eastAsia"/>
              </w:rPr>
              <w:t>・「卒業認定・学位授与の方針」に定められた資質・能力を直接的に測定することができる、又は当該資質・能力のエビデンスの一つとして用いることができるアセスメントテスト（学生による受験状況やその結果を大学として把握すべきアセスメントテスト）の特定</w:t>
            </w:r>
          </w:p>
          <w:p w14:paraId="6BF2A09B" w14:textId="4C0B1F77" w:rsidR="00EE06B5" w:rsidRPr="00AB0877" w:rsidRDefault="00EE06B5" w:rsidP="00EE06B5">
            <w:pPr>
              <w:ind w:left="210" w:hanging="210"/>
            </w:pPr>
            <w:r>
              <w:rPr>
                <w:rFonts w:hint="eastAsia"/>
              </w:rPr>
              <w:t>・大学として結果を把握すべきアセスメントテストを受験した学生からの報告による結果の収集</w:t>
            </w:r>
          </w:p>
        </w:tc>
      </w:tr>
      <w:tr w:rsidR="00EE06B5" w:rsidRPr="00AB0877" w14:paraId="1AE91262" w14:textId="77777777" w:rsidTr="00C128D6">
        <w:trPr>
          <w:trHeight w:val="567"/>
        </w:trPr>
        <w:tc>
          <w:tcPr>
            <w:tcW w:w="680" w:type="dxa"/>
            <w:vMerge/>
            <w:tcBorders>
              <w:left w:val="single" w:sz="4" w:space="0" w:color="auto"/>
              <w:right w:val="single" w:sz="4" w:space="0" w:color="auto"/>
            </w:tcBorders>
          </w:tcPr>
          <w:p w14:paraId="1831F49A" w14:textId="77777777" w:rsidR="00EE06B5" w:rsidRPr="00AB0877" w:rsidRDefault="00EE06B5" w:rsidP="00EE06B5">
            <w:pPr>
              <w:ind w:left="210" w:hanging="210"/>
            </w:pPr>
          </w:p>
        </w:tc>
        <w:tc>
          <w:tcPr>
            <w:tcW w:w="2948" w:type="dxa"/>
            <w:tcBorders>
              <w:left w:val="single" w:sz="4" w:space="0" w:color="auto"/>
            </w:tcBorders>
            <w:vAlign w:val="center"/>
          </w:tcPr>
          <w:p w14:paraId="4F816580" w14:textId="76A56BAE" w:rsidR="00EE06B5" w:rsidRPr="00AB0877" w:rsidRDefault="00EE06B5" w:rsidP="00EE06B5">
            <w:pPr>
              <w:ind w:left="0" w:firstLineChars="0" w:firstLine="0"/>
            </w:pPr>
            <w:r w:rsidRPr="00AB0877">
              <w:rPr>
                <w:rFonts w:hint="eastAsia"/>
              </w:rPr>
              <w:t>語学力検定等の学外試験のスコア</w:t>
            </w:r>
          </w:p>
        </w:tc>
        <w:tc>
          <w:tcPr>
            <w:tcW w:w="5885" w:type="dxa"/>
            <w:shd w:val="clear" w:color="auto" w:fill="auto"/>
            <w:vAlign w:val="center"/>
          </w:tcPr>
          <w:p w14:paraId="6A8C26D5" w14:textId="77777777" w:rsidR="00EE06B5" w:rsidRDefault="00EE06B5" w:rsidP="00EE06B5">
            <w:pPr>
              <w:ind w:left="210" w:hanging="210"/>
            </w:pPr>
            <w:r>
              <w:rPr>
                <w:rFonts w:hint="eastAsia"/>
              </w:rPr>
              <w:t>・学生が、当該試験により測定することができる資質・能力をどの程度の水準で獲得できているかについて、全体的な状況を明らかにする</w:t>
            </w:r>
          </w:p>
          <w:p w14:paraId="321FCA20" w14:textId="1DBAA8D2" w:rsidR="00EE06B5" w:rsidRPr="00AB0877" w:rsidRDefault="00EE06B5" w:rsidP="00EE06B5">
            <w:pPr>
              <w:ind w:left="210" w:hanging="210"/>
            </w:pPr>
            <w:r>
              <w:rPr>
                <w:rFonts w:hint="eastAsia"/>
              </w:rPr>
              <w:t>・「卒業認定・学位授与の方針」に定められた資質・能力を直接的に測定することができる場合には、学生が、当該資質・能力をどの程度の水準で身に付けることができているかについて、全体的な状況を明らかにすることができる</w:t>
            </w:r>
          </w:p>
        </w:tc>
        <w:tc>
          <w:tcPr>
            <w:tcW w:w="5887" w:type="dxa"/>
            <w:shd w:val="clear" w:color="auto" w:fill="auto"/>
            <w:vAlign w:val="center"/>
          </w:tcPr>
          <w:p w14:paraId="05927EDD" w14:textId="77777777" w:rsidR="00EE06B5" w:rsidRDefault="00EE06B5" w:rsidP="00EE06B5">
            <w:pPr>
              <w:ind w:left="210" w:hanging="210"/>
            </w:pPr>
            <w:r>
              <w:rPr>
                <w:rFonts w:hint="eastAsia"/>
              </w:rPr>
              <w:t>・学外試験により測定することができる資質・能力と「卒業認定・学位授与の方針」に定められた資質・能力との関係（学外試験により測定することができる資質・能力は、「卒業認定・学位授与の方針」に定められた資質・能力を直接的に測定できるものか、当該資質・能力に関連するエビデンスに留まるのか、等）</w:t>
            </w:r>
          </w:p>
          <w:p w14:paraId="1517F4B2" w14:textId="60198FAB" w:rsidR="00EE06B5" w:rsidRPr="00AB0877" w:rsidRDefault="00EE06B5" w:rsidP="00EE06B5">
            <w:pPr>
              <w:ind w:left="210" w:hanging="210"/>
            </w:pPr>
            <w:r>
              <w:rPr>
                <w:rFonts w:hint="eastAsia"/>
              </w:rPr>
              <w:t>・同一の学位プログラムに属する学生の受験状況並びに結果の平均値及び分布状況その他の全体的な状況</w:t>
            </w:r>
          </w:p>
        </w:tc>
        <w:tc>
          <w:tcPr>
            <w:tcW w:w="5886" w:type="dxa"/>
            <w:shd w:val="clear" w:color="auto" w:fill="auto"/>
            <w:vAlign w:val="center"/>
          </w:tcPr>
          <w:p w14:paraId="32BFFFCA" w14:textId="77777777" w:rsidR="00EE06B5" w:rsidRDefault="00EE06B5" w:rsidP="00EE06B5">
            <w:pPr>
              <w:ind w:left="210" w:hanging="210"/>
            </w:pPr>
            <w:r>
              <w:rPr>
                <w:rFonts w:hint="eastAsia"/>
              </w:rPr>
              <w:t>・学外試験により測定することができる資質・能力と「卒業認定・学位授与の方針」に定められた資質・能力との関係の整理</w:t>
            </w:r>
          </w:p>
          <w:p w14:paraId="0AC4B483" w14:textId="77777777" w:rsidR="00EE06B5" w:rsidRDefault="00EE06B5" w:rsidP="00EE06B5">
            <w:pPr>
              <w:ind w:left="210" w:hanging="210"/>
            </w:pPr>
            <w:r>
              <w:rPr>
                <w:rFonts w:hint="eastAsia"/>
              </w:rPr>
              <w:t>・「卒業認定・学位授与の方針」に定められた資質・能力を直接的に測定することができる、又は当該資質・能力のエビデンスの一つとして用いることができる学外試験（学生による受験状況やその結果を大学として把握すべき学外試験）の特定</w:t>
            </w:r>
          </w:p>
          <w:p w14:paraId="5312FFB8" w14:textId="374DCE0C" w:rsidR="00EE06B5" w:rsidRPr="00AB0877" w:rsidRDefault="00EE06B5" w:rsidP="00EE06B5">
            <w:pPr>
              <w:ind w:left="210" w:hanging="210"/>
            </w:pPr>
            <w:r>
              <w:rPr>
                <w:rFonts w:hint="eastAsia"/>
              </w:rPr>
              <w:t>・大学として結果を把握すべき学外試験を受験した学生からの報告による結果の収集</w:t>
            </w:r>
          </w:p>
        </w:tc>
      </w:tr>
    </w:tbl>
    <w:p w14:paraId="61A067AE" w14:textId="77777777" w:rsidR="00084505" w:rsidRDefault="00084505">
      <w:pPr>
        <w:ind w:left="210" w:hanging="210"/>
      </w:pPr>
      <w:r>
        <w:br w:type="page"/>
      </w:r>
    </w:p>
    <w:tbl>
      <w:tblPr>
        <w:tblStyle w:val="af8"/>
        <w:tblW w:w="21286" w:type="dxa"/>
        <w:tblInd w:w="240" w:type="dxa"/>
        <w:tblCellMar>
          <w:top w:w="28" w:type="dxa"/>
          <w:bottom w:w="28" w:type="dxa"/>
        </w:tblCellMar>
        <w:tblLook w:val="04A0" w:firstRow="1" w:lastRow="0" w:firstColumn="1" w:lastColumn="0" w:noHBand="0" w:noVBand="1"/>
      </w:tblPr>
      <w:tblGrid>
        <w:gridCol w:w="680"/>
        <w:gridCol w:w="2948"/>
        <w:gridCol w:w="5885"/>
        <w:gridCol w:w="5887"/>
        <w:gridCol w:w="5886"/>
      </w:tblGrid>
      <w:tr w:rsidR="00084505" w:rsidRPr="00AB0877" w14:paraId="21ABE64A" w14:textId="77777777" w:rsidTr="00D8590D">
        <w:trPr>
          <w:trHeight w:val="300"/>
          <w:tblHeader/>
        </w:trPr>
        <w:tc>
          <w:tcPr>
            <w:tcW w:w="36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B65A68" w14:textId="77777777" w:rsidR="00084505" w:rsidRPr="00760BC7" w:rsidRDefault="00084505" w:rsidP="00D8590D">
            <w:pPr>
              <w:ind w:left="0" w:firstLineChars="0" w:firstLine="0"/>
              <w:jc w:val="center"/>
            </w:pPr>
            <w:r w:rsidRPr="00AB0877">
              <w:rPr>
                <w:rFonts w:hint="eastAsia"/>
                <w:b/>
              </w:rPr>
              <w:lastRenderedPageBreak/>
              <w:t>情報</w:t>
            </w:r>
          </w:p>
        </w:tc>
        <w:tc>
          <w:tcPr>
            <w:tcW w:w="5885" w:type="dxa"/>
            <w:tcBorders>
              <w:left w:val="single" w:sz="4" w:space="0" w:color="auto"/>
            </w:tcBorders>
            <w:shd w:val="clear" w:color="auto" w:fill="BFBFBF" w:themeFill="background1" w:themeFillShade="BF"/>
            <w:vAlign w:val="center"/>
          </w:tcPr>
          <w:p w14:paraId="2BB7315B" w14:textId="77777777" w:rsidR="00084505" w:rsidRPr="00AB0877" w:rsidRDefault="00084505" w:rsidP="00D8590D">
            <w:pPr>
              <w:ind w:left="211" w:hanging="211"/>
              <w:jc w:val="center"/>
            </w:pPr>
            <w:r w:rsidRPr="00AB0877">
              <w:rPr>
                <w:rFonts w:hint="eastAsia"/>
                <w:b/>
              </w:rPr>
              <w:t>①公表の意義</w:t>
            </w:r>
          </w:p>
        </w:tc>
        <w:tc>
          <w:tcPr>
            <w:tcW w:w="5887" w:type="dxa"/>
            <w:shd w:val="clear" w:color="auto" w:fill="BFBFBF" w:themeFill="background1" w:themeFillShade="BF"/>
            <w:vAlign w:val="center"/>
          </w:tcPr>
          <w:p w14:paraId="2DED4747" w14:textId="77777777" w:rsidR="00084505" w:rsidRPr="00AB0877" w:rsidRDefault="00084505" w:rsidP="00D8590D">
            <w:pPr>
              <w:ind w:left="211" w:hanging="211"/>
              <w:jc w:val="center"/>
            </w:pPr>
            <w:r w:rsidRPr="00AB0877">
              <w:rPr>
                <w:rFonts w:hint="eastAsia"/>
                <w:b/>
              </w:rPr>
              <w:t>②公表することが考えられる内容</w:t>
            </w:r>
          </w:p>
        </w:tc>
        <w:tc>
          <w:tcPr>
            <w:tcW w:w="5886" w:type="dxa"/>
            <w:shd w:val="clear" w:color="auto" w:fill="BFBFBF" w:themeFill="background1" w:themeFillShade="BF"/>
            <w:vAlign w:val="center"/>
          </w:tcPr>
          <w:p w14:paraId="02D432C2" w14:textId="77777777" w:rsidR="00084505" w:rsidRPr="00AB0877" w:rsidRDefault="00084505" w:rsidP="00D8590D">
            <w:pPr>
              <w:ind w:left="211" w:hanging="211"/>
              <w:jc w:val="center"/>
            </w:pPr>
            <w:r w:rsidRPr="00AB0877">
              <w:rPr>
                <w:rFonts w:hint="eastAsia"/>
                <w:b/>
              </w:rPr>
              <w:t>③公表する情報の収集等の方法</w:t>
            </w:r>
          </w:p>
        </w:tc>
      </w:tr>
      <w:tr w:rsidR="00EE06B5" w:rsidRPr="00AB0877" w14:paraId="4BD515E1" w14:textId="77777777" w:rsidTr="00C128D6">
        <w:trPr>
          <w:trHeight w:val="567"/>
        </w:trPr>
        <w:tc>
          <w:tcPr>
            <w:tcW w:w="680" w:type="dxa"/>
            <w:vMerge w:val="restart"/>
            <w:tcBorders>
              <w:left w:val="single" w:sz="4" w:space="0" w:color="auto"/>
              <w:right w:val="single" w:sz="4" w:space="0" w:color="auto"/>
            </w:tcBorders>
          </w:tcPr>
          <w:p w14:paraId="7A72F996" w14:textId="027F1DA1" w:rsidR="00EE06B5" w:rsidRPr="00084505" w:rsidRDefault="00EE06B5" w:rsidP="00EE06B5">
            <w:pPr>
              <w:ind w:left="210" w:hanging="210"/>
            </w:pPr>
          </w:p>
        </w:tc>
        <w:tc>
          <w:tcPr>
            <w:tcW w:w="2948" w:type="dxa"/>
            <w:tcBorders>
              <w:left w:val="single" w:sz="4" w:space="0" w:color="auto"/>
            </w:tcBorders>
            <w:vAlign w:val="center"/>
          </w:tcPr>
          <w:p w14:paraId="27DDF458" w14:textId="4320FB54" w:rsidR="00EE06B5" w:rsidRPr="00AB0877" w:rsidRDefault="00EE06B5" w:rsidP="0003678D">
            <w:pPr>
              <w:ind w:left="0" w:firstLineChars="0" w:firstLine="0"/>
            </w:pPr>
            <w:r w:rsidRPr="00AB0877">
              <w:rPr>
                <w:rFonts w:hint="eastAsia"/>
              </w:rPr>
              <w:t>資格取得や受賞、表彰歴等の状況</w:t>
            </w:r>
          </w:p>
        </w:tc>
        <w:tc>
          <w:tcPr>
            <w:tcW w:w="5885" w:type="dxa"/>
            <w:shd w:val="clear" w:color="auto" w:fill="auto"/>
            <w:vAlign w:val="center"/>
          </w:tcPr>
          <w:p w14:paraId="179B337E" w14:textId="77777777" w:rsidR="00EE06B5" w:rsidRDefault="00EE06B5" w:rsidP="0003678D">
            <w:pPr>
              <w:ind w:left="210" w:hanging="210"/>
            </w:pPr>
            <w:r>
              <w:rPr>
                <w:rFonts w:hint="eastAsia"/>
              </w:rPr>
              <w:t>＜資格取得の状況＞</w:t>
            </w:r>
          </w:p>
          <w:p w14:paraId="38131DAC" w14:textId="77777777" w:rsidR="00EE06B5" w:rsidRDefault="00EE06B5" w:rsidP="0003678D">
            <w:pPr>
              <w:ind w:left="210" w:hanging="210"/>
            </w:pPr>
            <w:r>
              <w:rPr>
                <w:rFonts w:hint="eastAsia"/>
              </w:rPr>
              <w:t>・学生が、当該資格の取得のために求められる資質・能力を一定の水準で身に付けることができていることを明らかにする</w:t>
            </w:r>
          </w:p>
          <w:p w14:paraId="50663277" w14:textId="77777777" w:rsidR="00EE06B5" w:rsidRDefault="00EE06B5" w:rsidP="0003678D">
            <w:pPr>
              <w:ind w:left="210" w:hanging="210"/>
            </w:pPr>
            <w:r>
              <w:rPr>
                <w:rFonts w:hint="eastAsia"/>
              </w:rPr>
              <w:t>・当該資格の取得により、「卒業認定・学位授与の方針」に定められた資質・能力を直接的に測定することができる場合には、学生が、当該資質・能力の一部を一定の水準で身に付けることができていることを明らかにする</w:t>
            </w:r>
          </w:p>
          <w:p w14:paraId="7BAAD70B" w14:textId="77777777" w:rsidR="00EE06B5" w:rsidRDefault="00EE06B5" w:rsidP="0003678D">
            <w:pPr>
              <w:ind w:left="210" w:hanging="210"/>
            </w:pPr>
            <w:r>
              <w:rPr>
                <w:rFonts w:hint="eastAsia"/>
              </w:rPr>
              <w:t>＜受賞、表彰歴等の状況＞</w:t>
            </w:r>
          </w:p>
          <w:p w14:paraId="6408BCB3" w14:textId="77777777" w:rsidR="00EE06B5" w:rsidRDefault="00EE06B5" w:rsidP="0003678D">
            <w:pPr>
              <w:ind w:left="210" w:hanging="210"/>
            </w:pPr>
            <w:r>
              <w:rPr>
                <w:rFonts w:hint="eastAsia"/>
              </w:rPr>
              <w:t>・学生が、当該受賞、表彰等のために求められる資質・能力を高い水準で身に付けることができていることを明らかにする</w:t>
            </w:r>
          </w:p>
          <w:p w14:paraId="08F38965" w14:textId="3E3C1B09" w:rsidR="00EE06B5" w:rsidRPr="00AB0877" w:rsidRDefault="00EE06B5" w:rsidP="0003678D">
            <w:pPr>
              <w:ind w:left="210" w:hanging="210"/>
            </w:pPr>
            <w:r>
              <w:rPr>
                <w:rFonts w:hint="eastAsia"/>
              </w:rPr>
              <w:t>・当該受賞、表彰等により、「卒業認定・学位授与の方針」に定められた資質・能力を直接的に測定することができる場合には、学生が、当該資質・能力をどの程度の水準で身に付けることができているかを明らかにすることができる</w:t>
            </w:r>
          </w:p>
        </w:tc>
        <w:tc>
          <w:tcPr>
            <w:tcW w:w="5887" w:type="dxa"/>
            <w:shd w:val="clear" w:color="auto" w:fill="auto"/>
            <w:vAlign w:val="center"/>
          </w:tcPr>
          <w:p w14:paraId="6AB57752" w14:textId="77777777" w:rsidR="00EE06B5" w:rsidRDefault="00EE06B5" w:rsidP="0003678D">
            <w:pPr>
              <w:ind w:left="210" w:hanging="210"/>
            </w:pPr>
            <w:r>
              <w:rPr>
                <w:rFonts w:hint="eastAsia"/>
              </w:rPr>
              <w:t>＜資格取得の状況＞</w:t>
            </w:r>
          </w:p>
          <w:p w14:paraId="4EAF6466" w14:textId="77777777" w:rsidR="00EE06B5" w:rsidRDefault="00EE06B5" w:rsidP="0003678D">
            <w:pPr>
              <w:ind w:left="210" w:hanging="210"/>
            </w:pPr>
            <w:r>
              <w:rPr>
                <w:rFonts w:hint="eastAsia"/>
              </w:rPr>
              <w:t>・資格の取得により証明される資質・能力と「卒業認定・学位授与の方針」に定められた資質・能力との関係（資格取得により証明される資質・能力は、「卒業認定・学位授与の方針」に定められた資質・能力を直接的に測定できるものか、当該資質・能力に関連するエビデンスに留まるのか、等）</w:t>
            </w:r>
          </w:p>
          <w:p w14:paraId="39AB6E34" w14:textId="77777777" w:rsidR="00EE06B5" w:rsidRDefault="00EE06B5" w:rsidP="0003678D">
            <w:pPr>
              <w:ind w:left="210" w:hanging="210"/>
            </w:pPr>
            <w:r>
              <w:rPr>
                <w:rFonts w:hint="eastAsia"/>
              </w:rPr>
              <w:t>・同一の学位プログラムに属する学生における資格取得者の人数</w:t>
            </w:r>
          </w:p>
          <w:p w14:paraId="00AF8FDF" w14:textId="77777777" w:rsidR="00EE06B5" w:rsidRDefault="00EE06B5" w:rsidP="0003678D">
            <w:pPr>
              <w:ind w:left="210" w:hanging="210"/>
            </w:pPr>
            <w:r>
              <w:rPr>
                <w:rFonts w:hint="eastAsia"/>
              </w:rPr>
              <w:t>＜受賞、表彰歴等の状況＞</w:t>
            </w:r>
          </w:p>
          <w:p w14:paraId="6A2EFC5B" w14:textId="77777777" w:rsidR="00EE06B5" w:rsidRDefault="00EE06B5" w:rsidP="0003678D">
            <w:pPr>
              <w:ind w:left="210" w:hanging="210"/>
            </w:pPr>
            <w:r>
              <w:rPr>
                <w:rFonts w:hint="eastAsia"/>
              </w:rPr>
              <w:t>・受賞、表彰等により証明される資質・能力と「卒業認定・学位授与の方針」に定められた資質・能力との関係（受賞、表彰等により証明される資質・能力は、「卒業認定・学位授与の方針」に定められた資質・能力を直接的に測定できるものか、当該資質・能力に関連するエビデンスに留まるのか、等）</w:t>
            </w:r>
          </w:p>
          <w:p w14:paraId="5D995568" w14:textId="27941E8E" w:rsidR="00EE06B5" w:rsidRPr="00AB0877" w:rsidRDefault="00EE06B5" w:rsidP="0003678D">
            <w:pPr>
              <w:ind w:left="210" w:hanging="210"/>
            </w:pPr>
            <w:r>
              <w:rPr>
                <w:rFonts w:hint="eastAsia"/>
              </w:rPr>
              <w:t>・同一の学位プログラムに属する学生における受賞者・表彰者等の人数や具体的な例</w:t>
            </w:r>
          </w:p>
        </w:tc>
        <w:tc>
          <w:tcPr>
            <w:tcW w:w="5886" w:type="dxa"/>
            <w:shd w:val="clear" w:color="auto" w:fill="auto"/>
            <w:vAlign w:val="center"/>
          </w:tcPr>
          <w:p w14:paraId="5470AE13" w14:textId="77777777" w:rsidR="00EE06B5" w:rsidRDefault="00EE06B5" w:rsidP="0003678D">
            <w:pPr>
              <w:ind w:left="210" w:hanging="210"/>
            </w:pPr>
            <w:r>
              <w:rPr>
                <w:rFonts w:hint="eastAsia"/>
              </w:rPr>
              <w:t>＜資格取得の状況＞</w:t>
            </w:r>
          </w:p>
          <w:p w14:paraId="01D2EC0B" w14:textId="77777777" w:rsidR="00EE06B5" w:rsidRDefault="00EE06B5" w:rsidP="0003678D">
            <w:pPr>
              <w:ind w:left="210" w:hanging="210"/>
            </w:pPr>
            <w:r>
              <w:rPr>
                <w:rFonts w:hint="eastAsia"/>
              </w:rPr>
              <w:t>・資格取得により証明することができる資質・能力と「卒業認定・学位授与の方針」に定められた資質・能力との関係の整理</w:t>
            </w:r>
          </w:p>
          <w:p w14:paraId="13B60D02" w14:textId="77777777" w:rsidR="00EE06B5" w:rsidRDefault="00EE06B5" w:rsidP="0003678D">
            <w:pPr>
              <w:ind w:left="210" w:hanging="210"/>
            </w:pPr>
            <w:r>
              <w:rPr>
                <w:rFonts w:hint="eastAsia"/>
              </w:rPr>
              <w:t>・「卒業認定・学位授与の方針」に定められた資質・能力を直接的に測定することができる、又は当該資質・能力のエビデンスの一つとして用いることができる資格（学生による受験状況やその結果を大学として把握すべき資格）の特定</w:t>
            </w:r>
          </w:p>
          <w:p w14:paraId="4A1DC33F" w14:textId="77777777" w:rsidR="00EE06B5" w:rsidRDefault="00EE06B5" w:rsidP="0003678D">
            <w:pPr>
              <w:ind w:left="210" w:hanging="210"/>
            </w:pPr>
            <w:r>
              <w:rPr>
                <w:rFonts w:hint="eastAsia"/>
              </w:rPr>
              <w:t>・上記の資格の取得に関する試験等を受験した学生からの報告による結果の収集</w:t>
            </w:r>
          </w:p>
          <w:p w14:paraId="72D8173C" w14:textId="77777777" w:rsidR="00EE06B5" w:rsidRDefault="00EE06B5" w:rsidP="0003678D">
            <w:pPr>
              <w:ind w:left="210" w:hanging="210"/>
            </w:pPr>
            <w:r>
              <w:rPr>
                <w:rFonts w:hint="eastAsia"/>
              </w:rPr>
              <w:t>＜受賞、表彰歴等の状況＞</w:t>
            </w:r>
          </w:p>
          <w:p w14:paraId="67004059" w14:textId="77777777" w:rsidR="00EE06B5" w:rsidRDefault="00EE06B5" w:rsidP="0003678D">
            <w:pPr>
              <w:ind w:left="210" w:hanging="210"/>
            </w:pPr>
            <w:r>
              <w:rPr>
                <w:rFonts w:hint="eastAsia"/>
              </w:rPr>
              <w:t>・上記の賞や表彰制度等の受賞や表彰等により証明される資質・能力と「卒業認定・学位授与の方針」に定められた資質・能力との関係の整理</w:t>
            </w:r>
          </w:p>
          <w:p w14:paraId="0FB17160" w14:textId="77777777" w:rsidR="00EE06B5" w:rsidRDefault="00EE06B5" w:rsidP="0003678D">
            <w:pPr>
              <w:ind w:left="210" w:hanging="210"/>
            </w:pPr>
            <w:r>
              <w:rPr>
                <w:rFonts w:hint="eastAsia"/>
              </w:rPr>
              <w:t>・「卒業認定・学位授与の方針」に定められた資質・能力を直接的に測定することができる、又は当該資質・能力のエビデンスの一つとして用いることができる賞や表彰制度等の特定</w:t>
            </w:r>
          </w:p>
          <w:p w14:paraId="5E6E62E7" w14:textId="25571797" w:rsidR="00EE06B5" w:rsidRPr="00AB0877" w:rsidRDefault="00EE06B5" w:rsidP="0003678D">
            <w:pPr>
              <w:ind w:left="210" w:hanging="210"/>
            </w:pPr>
            <w:r>
              <w:rPr>
                <w:rFonts w:hint="eastAsia"/>
              </w:rPr>
              <w:t>・上記の賞や表彰制度等について受賞し又は表彰等された学生からの報告による情報の収集</w:t>
            </w:r>
          </w:p>
        </w:tc>
      </w:tr>
      <w:tr w:rsidR="00EE06B5" w:rsidRPr="00AB0877" w14:paraId="544E6A35" w14:textId="77777777" w:rsidTr="00C128D6">
        <w:trPr>
          <w:trHeight w:val="567"/>
        </w:trPr>
        <w:tc>
          <w:tcPr>
            <w:tcW w:w="680" w:type="dxa"/>
            <w:vMerge/>
            <w:tcBorders>
              <w:left w:val="single" w:sz="4" w:space="0" w:color="auto"/>
              <w:right w:val="single" w:sz="4" w:space="0" w:color="auto"/>
            </w:tcBorders>
          </w:tcPr>
          <w:p w14:paraId="48B52A09" w14:textId="77777777" w:rsidR="00EE06B5" w:rsidRPr="00AB0877" w:rsidRDefault="00EE06B5" w:rsidP="00EE06B5">
            <w:pPr>
              <w:ind w:left="210" w:hanging="210"/>
            </w:pPr>
          </w:p>
        </w:tc>
        <w:tc>
          <w:tcPr>
            <w:tcW w:w="2948" w:type="dxa"/>
            <w:tcBorders>
              <w:left w:val="single" w:sz="4" w:space="0" w:color="auto"/>
            </w:tcBorders>
            <w:vAlign w:val="center"/>
          </w:tcPr>
          <w:p w14:paraId="691A782E" w14:textId="6356AEF0" w:rsidR="00EE06B5" w:rsidRPr="00AB0877" w:rsidRDefault="00EE06B5" w:rsidP="0003678D">
            <w:pPr>
              <w:ind w:left="0" w:firstLineChars="0" w:firstLine="0"/>
            </w:pPr>
            <w:r w:rsidRPr="00AB0877">
              <w:rPr>
                <w:rFonts w:hint="eastAsia"/>
              </w:rPr>
              <w:t>卒業生に対する評価</w:t>
            </w:r>
          </w:p>
        </w:tc>
        <w:tc>
          <w:tcPr>
            <w:tcW w:w="5885" w:type="dxa"/>
            <w:shd w:val="clear" w:color="auto" w:fill="auto"/>
            <w:vAlign w:val="center"/>
          </w:tcPr>
          <w:p w14:paraId="37815F8B" w14:textId="6705FE75" w:rsidR="00EE06B5" w:rsidRPr="00AB0877" w:rsidRDefault="00EE06B5" w:rsidP="0003678D">
            <w:pPr>
              <w:ind w:left="210" w:hanging="210"/>
            </w:pPr>
            <w:r>
              <w:rPr>
                <w:rFonts w:hint="eastAsia"/>
              </w:rPr>
              <w:t>・進学先の大学院や就職先の企業などにおける卒業生に対する評価を通じて、学位プログラムを修了した学生が、実際に「卒業認定・学位授与の方針」に定められた資質・能力を身に付けているかについて、全体的な状況を明らかにする</w:t>
            </w:r>
          </w:p>
        </w:tc>
        <w:tc>
          <w:tcPr>
            <w:tcW w:w="5887" w:type="dxa"/>
            <w:shd w:val="clear" w:color="auto" w:fill="auto"/>
            <w:vAlign w:val="center"/>
          </w:tcPr>
          <w:p w14:paraId="45FDA8E7" w14:textId="77777777" w:rsidR="00EE06B5" w:rsidRDefault="00EE06B5" w:rsidP="0003678D">
            <w:pPr>
              <w:ind w:left="210" w:hanging="210"/>
            </w:pPr>
            <w:r>
              <w:rPr>
                <w:rFonts w:hint="eastAsia"/>
              </w:rPr>
              <w:t>・「卒業認定・学位授与の方針」に定められた資質・能力に照らした、卒業生に対する雇用主や進学先の指導教員からの評価やその代表例、その他の全体的な状況</w:t>
            </w:r>
          </w:p>
          <w:p w14:paraId="66468709" w14:textId="2F457079" w:rsidR="00EE06B5" w:rsidRPr="00AB0877" w:rsidRDefault="00EE06B5" w:rsidP="0003678D">
            <w:pPr>
              <w:ind w:left="210" w:hanging="210"/>
            </w:pPr>
            <w:r w:rsidRPr="00E452B1">
              <w:rPr>
                <w:rFonts w:hint="eastAsia"/>
              </w:rPr>
              <w:t>（進路の決定状況等の卒業後の状況（進学率や就職率等）や卒業生からの評価と併せて分析を行い、公表することが有益）</w:t>
            </w:r>
          </w:p>
        </w:tc>
        <w:tc>
          <w:tcPr>
            <w:tcW w:w="5886" w:type="dxa"/>
            <w:shd w:val="clear" w:color="auto" w:fill="auto"/>
            <w:vAlign w:val="center"/>
          </w:tcPr>
          <w:p w14:paraId="2457B884" w14:textId="7E59B47F" w:rsidR="00EE06B5" w:rsidRPr="00AB0877" w:rsidRDefault="00EE06B5" w:rsidP="0003678D">
            <w:pPr>
              <w:ind w:left="210" w:hanging="210"/>
            </w:pPr>
            <w:r>
              <w:rPr>
                <w:rFonts w:hint="eastAsia"/>
              </w:rPr>
              <w:t>・卒業生の雇用主や進学先の指導教員からのアンケート・ヒアリング等により収集</w:t>
            </w:r>
          </w:p>
        </w:tc>
      </w:tr>
      <w:tr w:rsidR="00EE06B5" w:rsidRPr="00AB0877" w14:paraId="641896E0" w14:textId="77777777" w:rsidTr="00C128D6">
        <w:trPr>
          <w:trHeight w:val="567"/>
        </w:trPr>
        <w:tc>
          <w:tcPr>
            <w:tcW w:w="680" w:type="dxa"/>
            <w:vMerge/>
            <w:tcBorders>
              <w:left w:val="single" w:sz="4" w:space="0" w:color="auto"/>
              <w:right w:val="single" w:sz="4" w:space="0" w:color="auto"/>
            </w:tcBorders>
          </w:tcPr>
          <w:p w14:paraId="09A76050" w14:textId="77777777" w:rsidR="00EE06B5" w:rsidRPr="00AB0877" w:rsidRDefault="00EE06B5" w:rsidP="00EE06B5">
            <w:pPr>
              <w:ind w:left="210" w:hanging="210"/>
            </w:pPr>
          </w:p>
        </w:tc>
        <w:tc>
          <w:tcPr>
            <w:tcW w:w="2948" w:type="dxa"/>
            <w:tcBorders>
              <w:left w:val="single" w:sz="4" w:space="0" w:color="auto"/>
            </w:tcBorders>
            <w:vAlign w:val="center"/>
          </w:tcPr>
          <w:p w14:paraId="7526A4D7" w14:textId="6EA1E381" w:rsidR="00EE06B5" w:rsidRPr="00AB0877" w:rsidRDefault="00EE06B5" w:rsidP="0003678D">
            <w:pPr>
              <w:ind w:left="0" w:firstLineChars="0" w:firstLine="0"/>
            </w:pPr>
            <w:r w:rsidRPr="00AB0877">
              <w:rPr>
                <w:rFonts w:hint="eastAsia"/>
              </w:rPr>
              <w:t>卒業生からの評価</w:t>
            </w:r>
          </w:p>
        </w:tc>
        <w:tc>
          <w:tcPr>
            <w:tcW w:w="5885" w:type="dxa"/>
            <w:shd w:val="clear" w:color="auto" w:fill="auto"/>
            <w:vAlign w:val="center"/>
          </w:tcPr>
          <w:p w14:paraId="668ECCC1" w14:textId="0098B03B" w:rsidR="00EE06B5" w:rsidRPr="00AB0877" w:rsidRDefault="00EE06B5" w:rsidP="0003678D">
            <w:pPr>
              <w:ind w:left="210" w:hanging="210"/>
            </w:pPr>
            <w:r>
              <w:rPr>
                <w:rFonts w:hint="eastAsia"/>
              </w:rPr>
              <w:t>・学位プログラムにおける学修や教育が「卒業認定・学位授与の方針」に定められた資質・能力の修得に資するものであったかや、学位プログラムを通じて身に付けた資質・能力が、進学先や就職先でどのように役立っているかについて、全体的な状況を、進学・就職から一定期間経過した卒業生からの評価により明らかにする</w:t>
            </w:r>
          </w:p>
        </w:tc>
        <w:tc>
          <w:tcPr>
            <w:tcW w:w="5887" w:type="dxa"/>
            <w:shd w:val="clear" w:color="auto" w:fill="auto"/>
            <w:vAlign w:val="center"/>
          </w:tcPr>
          <w:p w14:paraId="27F4BB70" w14:textId="77777777" w:rsidR="00EE06B5" w:rsidRDefault="00EE06B5" w:rsidP="0003678D">
            <w:pPr>
              <w:ind w:left="210" w:hanging="210"/>
            </w:pPr>
            <w:r>
              <w:rPr>
                <w:rFonts w:hint="eastAsia"/>
              </w:rPr>
              <w:t>・「卒業認定・学位授与の方針」に定められた資質・能力の修得にあたって学位プログラムが果たした役割についての、卒業生からの評価</w:t>
            </w:r>
          </w:p>
          <w:p w14:paraId="72C78263" w14:textId="77777777" w:rsidR="00EE06B5" w:rsidRDefault="00EE06B5" w:rsidP="0003678D">
            <w:pPr>
              <w:ind w:left="210" w:hanging="210"/>
            </w:pPr>
            <w:r>
              <w:rPr>
                <w:rFonts w:hint="eastAsia"/>
              </w:rPr>
              <w:t>・進学・就職等の進路毎に、どのような資質・能力が役立っているかについての、卒業生からの評価</w:t>
            </w:r>
          </w:p>
          <w:p w14:paraId="535186F3" w14:textId="6AE213D6" w:rsidR="00EE06B5" w:rsidRPr="00AB0877" w:rsidRDefault="00EE06B5" w:rsidP="0003678D">
            <w:pPr>
              <w:ind w:left="210" w:hanging="210"/>
            </w:pPr>
            <w:r w:rsidRPr="00E452B1">
              <w:rPr>
                <w:rFonts w:hint="eastAsia"/>
              </w:rPr>
              <w:t>（進路の決定状況等の卒業後の状況（進学率や就職率等）や卒業生に対する評価と併せて分析を行い、公表することが有益）</w:t>
            </w:r>
          </w:p>
        </w:tc>
        <w:tc>
          <w:tcPr>
            <w:tcW w:w="5886" w:type="dxa"/>
            <w:shd w:val="clear" w:color="auto" w:fill="auto"/>
            <w:vAlign w:val="center"/>
          </w:tcPr>
          <w:p w14:paraId="79B306CB" w14:textId="29D2425B" w:rsidR="00EE06B5" w:rsidRPr="00AB0877" w:rsidRDefault="00EE06B5" w:rsidP="0003678D">
            <w:pPr>
              <w:ind w:left="210" w:hanging="210"/>
            </w:pPr>
            <w:r>
              <w:rPr>
                <w:rFonts w:hint="eastAsia"/>
              </w:rPr>
              <w:t>・卒業生からのアンケート・ヒアリング等により収集</w:t>
            </w:r>
          </w:p>
        </w:tc>
      </w:tr>
    </w:tbl>
    <w:p w14:paraId="034890E3" w14:textId="5B0AE2F5" w:rsidR="003374D7" w:rsidRPr="00AB0877" w:rsidRDefault="00F36943" w:rsidP="00441112">
      <w:pPr>
        <w:pStyle w:val="4"/>
        <w:spacing w:before="297"/>
      </w:pPr>
      <w:r w:rsidRPr="00AB0877">
        <w:rPr>
          <w:rFonts w:hint="eastAsia"/>
        </w:rPr>
        <w:lastRenderedPageBreak/>
        <w:t>学修成果・教育成果を保証する条件</w:t>
      </w:r>
      <w:r w:rsidR="00AB39C5" w:rsidRPr="00AB0877">
        <w:rPr>
          <w:rFonts w:hint="eastAsia"/>
        </w:rPr>
        <w:t>に関する情報</w:t>
      </w:r>
      <w:r w:rsidR="000B7240" w:rsidRPr="00AB0877">
        <w:rPr>
          <w:rFonts w:hint="eastAsia"/>
        </w:rPr>
        <w:t>の例</w:t>
      </w:r>
    </w:p>
    <w:tbl>
      <w:tblPr>
        <w:tblStyle w:val="af8"/>
        <w:tblW w:w="21286" w:type="dxa"/>
        <w:tblInd w:w="240" w:type="dxa"/>
        <w:tblCellMar>
          <w:top w:w="28" w:type="dxa"/>
          <w:bottom w:w="28" w:type="dxa"/>
        </w:tblCellMar>
        <w:tblLook w:val="04A0" w:firstRow="1" w:lastRow="0" w:firstColumn="1" w:lastColumn="0" w:noHBand="0" w:noVBand="1"/>
      </w:tblPr>
      <w:tblGrid>
        <w:gridCol w:w="680"/>
        <w:gridCol w:w="2948"/>
        <w:gridCol w:w="5885"/>
        <w:gridCol w:w="5887"/>
        <w:gridCol w:w="5886"/>
      </w:tblGrid>
      <w:tr w:rsidR="00AB0877" w:rsidRPr="00AB0877" w14:paraId="6DFE889E" w14:textId="77777777" w:rsidTr="00EC1CEC">
        <w:trPr>
          <w:tblHeader/>
        </w:trPr>
        <w:tc>
          <w:tcPr>
            <w:tcW w:w="36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856DD" w14:textId="77777777" w:rsidR="00AB39C5" w:rsidRPr="00AB0877" w:rsidRDefault="00AB39C5" w:rsidP="00EC1CEC">
            <w:pPr>
              <w:ind w:left="211" w:hanging="211"/>
              <w:jc w:val="center"/>
              <w:rPr>
                <w:b/>
              </w:rPr>
            </w:pPr>
            <w:r w:rsidRPr="00AB0877">
              <w:rPr>
                <w:rFonts w:hint="eastAsia"/>
                <w:b/>
              </w:rPr>
              <w:t>情報</w:t>
            </w:r>
          </w:p>
        </w:tc>
        <w:tc>
          <w:tcPr>
            <w:tcW w:w="5885" w:type="dxa"/>
            <w:tcBorders>
              <w:left w:val="single" w:sz="4" w:space="0" w:color="auto"/>
            </w:tcBorders>
            <w:shd w:val="clear" w:color="auto" w:fill="BFBFBF" w:themeFill="background1" w:themeFillShade="BF"/>
            <w:vAlign w:val="center"/>
          </w:tcPr>
          <w:p w14:paraId="2C993B72" w14:textId="77777777" w:rsidR="00AB39C5" w:rsidRPr="00AB0877" w:rsidRDefault="00AB39C5" w:rsidP="00EC1CEC">
            <w:pPr>
              <w:ind w:left="211" w:hanging="211"/>
              <w:jc w:val="center"/>
              <w:rPr>
                <w:b/>
              </w:rPr>
            </w:pPr>
            <w:r w:rsidRPr="00AB0877">
              <w:rPr>
                <w:rFonts w:hint="eastAsia"/>
                <w:b/>
              </w:rPr>
              <w:t>①公表の意義</w:t>
            </w:r>
          </w:p>
        </w:tc>
        <w:tc>
          <w:tcPr>
            <w:tcW w:w="5887" w:type="dxa"/>
            <w:shd w:val="clear" w:color="auto" w:fill="BFBFBF" w:themeFill="background1" w:themeFillShade="BF"/>
            <w:vAlign w:val="center"/>
          </w:tcPr>
          <w:p w14:paraId="0D8A521E" w14:textId="77777777" w:rsidR="00AB39C5" w:rsidRPr="00AB0877" w:rsidRDefault="00AB39C5" w:rsidP="00EC1CEC">
            <w:pPr>
              <w:ind w:left="211" w:hanging="211"/>
              <w:jc w:val="center"/>
              <w:rPr>
                <w:b/>
              </w:rPr>
            </w:pPr>
            <w:r w:rsidRPr="00AB0877">
              <w:rPr>
                <w:rFonts w:hint="eastAsia"/>
                <w:b/>
              </w:rPr>
              <w:t>②公表することが考えられる内容</w:t>
            </w:r>
          </w:p>
        </w:tc>
        <w:tc>
          <w:tcPr>
            <w:tcW w:w="5886" w:type="dxa"/>
            <w:shd w:val="clear" w:color="auto" w:fill="BFBFBF" w:themeFill="background1" w:themeFillShade="BF"/>
            <w:vAlign w:val="center"/>
          </w:tcPr>
          <w:p w14:paraId="0E7D0A3D" w14:textId="77777777" w:rsidR="00AB39C5" w:rsidRPr="00AB0877" w:rsidRDefault="00AB39C5" w:rsidP="00EC1CEC">
            <w:pPr>
              <w:ind w:left="211" w:hanging="211"/>
              <w:jc w:val="center"/>
              <w:rPr>
                <w:b/>
              </w:rPr>
            </w:pPr>
            <w:r w:rsidRPr="00AB0877">
              <w:rPr>
                <w:rFonts w:hint="eastAsia"/>
                <w:b/>
              </w:rPr>
              <w:t>③公表する情報の収集等の方法</w:t>
            </w:r>
          </w:p>
        </w:tc>
      </w:tr>
      <w:tr w:rsidR="00AB0877" w:rsidRPr="00AB0877" w14:paraId="77A826CA" w14:textId="77777777" w:rsidTr="00571938">
        <w:trPr>
          <w:cantSplit/>
          <w:trHeight w:val="567"/>
        </w:trPr>
        <w:tc>
          <w:tcPr>
            <w:tcW w:w="680" w:type="dxa"/>
            <w:vMerge w:val="restart"/>
            <w:tcBorders>
              <w:top w:val="single" w:sz="4" w:space="0" w:color="auto"/>
              <w:left w:val="single" w:sz="4" w:space="0" w:color="auto"/>
              <w:right w:val="single" w:sz="4" w:space="0" w:color="auto"/>
            </w:tcBorders>
            <w:shd w:val="clear" w:color="auto" w:fill="FFFFFF" w:themeFill="background1"/>
            <w:textDirection w:val="tbRlV"/>
            <w:vAlign w:val="center"/>
          </w:tcPr>
          <w:p w14:paraId="58CC1A05" w14:textId="6E1DAB44" w:rsidR="00797A7F" w:rsidRPr="00AB0877" w:rsidRDefault="00797A7F" w:rsidP="00571938">
            <w:pPr>
              <w:spacing w:line="0" w:lineRule="atLeast"/>
              <w:ind w:left="113" w:right="113" w:firstLineChars="0" w:firstLine="0"/>
              <w:jc w:val="center"/>
            </w:pPr>
            <w:r w:rsidRPr="00AB0877">
              <w:rPr>
                <w:rFonts w:hint="eastAsia"/>
              </w:rPr>
              <w:t>①大学の教育活動に伴う基本的な情報であって全ての大学において収集可能と考えられるもの</w:t>
            </w:r>
          </w:p>
        </w:tc>
        <w:tc>
          <w:tcPr>
            <w:tcW w:w="2948" w:type="dxa"/>
            <w:tcBorders>
              <w:top w:val="single" w:sz="4" w:space="0" w:color="auto"/>
              <w:left w:val="single" w:sz="4" w:space="0" w:color="auto"/>
              <w:right w:val="single" w:sz="4" w:space="0" w:color="auto"/>
            </w:tcBorders>
            <w:shd w:val="clear" w:color="auto" w:fill="auto"/>
            <w:vAlign w:val="center"/>
          </w:tcPr>
          <w:p w14:paraId="290F1F23" w14:textId="1D0AF69C" w:rsidR="00797A7F" w:rsidRPr="00AB0877" w:rsidRDefault="00797A7F" w:rsidP="00797A7F">
            <w:pPr>
              <w:ind w:left="0" w:firstLineChars="0" w:firstLine="0"/>
            </w:pPr>
            <w:r w:rsidRPr="00AB0877">
              <w:rPr>
                <w:rFonts w:hint="eastAsia"/>
              </w:rPr>
              <w:t>入学者選抜の状況</w:t>
            </w:r>
          </w:p>
        </w:tc>
        <w:tc>
          <w:tcPr>
            <w:tcW w:w="5885" w:type="dxa"/>
            <w:tcBorders>
              <w:left w:val="single" w:sz="4" w:space="0" w:color="auto"/>
            </w:tcBorders>
            <w:shd w:val="clear" w:color="auto" w:fill="auto"/>
            <w:vAlign w:val="center"/>
          </w:tcPr>
          <w:p w14:paraId="48A37957" w14:textId="77777777" w:rsidR="00797A7F" w:rsidRPr="00AB0877" w:rsidRDefault="00797A7F" w:rsidP="00797A7F">
            <w:pPr>
              <w:ind w:left="210" w:hanging="210"/>
            </w:pPr>
            <w:r w:rsidRPr="00AB0877">
              <w:rPr>
                <w:rFonts w:hint="eastAsia"/>
              </w:rPr>
              <w:t>・入学者選抜の方法の明示や試験問題及び解答の公表により、「入学者受入れの方針」に即し、大学として求める資質・能力を有する者を入学者として適切に選抜していることを明らかにする</w:t>
            </w:r>
          </w:p>
          <w:p w14:paraId="442A5C14" w14:textId="4272E110" w:rsidR="00797A7F" w:rsidRPr="00AB0877" w:rsidRDefault="00797A7F" w:rsidP="00797A7F">
            <w:pPr>
              <w:ind w:left="210" w:hanging="210"/>
            </w:pPr>
            <w:r w:rsidRPr="00AB0877">
              <w:rPr>
                <w:rFonts w:hint="eastAsia"/>
              </w:rPr>
              <w:t>・入学者選抜の方法や合否判定の方法・基準等を明示することで、公正かつ妥当な方法により、多面的かつ総合的な評価・判定に基づき入学者選抜を実施していることを明らかにする</w:t>
            </w:r>
          </w:p>
        </w:tc>
        <w:tc>
          <w:tcPr>
            <w:tcW w:w="5887" w:type="dxa"/>
            <w:shd w:val="clear" w:color="auto" w:fill="auto"/>
            <w:vAlign w:val="center"/>
          </w:tcPr>
          <w:p w14:paraId="37CCADFA" w14:textId="77777777" w:rsidR="00797A7F" w:rsidRPr="00AB0877" w:rsidRDefault="00797A7F" w:rsidP="00797A7F">
            <w:pPr>
              <w:ind w:left="210" w:hanging="210"/>
            </w:pPr>
            <w:r w:rsidRPr="00AB0877">
              <w:rPr>
                <w:rFonts w:hint="eastAsia"/>
              </w:rPr>
              <w:t>・各学位プログラムにおける個別学力検査の実施教科・科目、入試方法、その他入学者選抜に関する基本的な事項</w:t>
            </w:r>
          </w:p>
          <w:p w14:paraId="423B15BB" w14:textId="77777777" w:rsidR="00797A7F" w:rsidRPr="00AB0877" w:rsidRDefault="00797A7F" w:rsidP="00797A7F">
            <w:pPr>
              <w:ind w:left="210" w:hanging="210"/>
            </w:pPr>
            <w:r w:rsidRPr="00AB0877">
              <w:rPr>
                <w:rFonts w:hint="eastAsia"/>
              </w:rPr>
              <w:t>・合否判定の方法や基準</w:t>
            </w:r>
          </w:p>
          <w:p w14:paraId="6FBD6C77" w14:textId="77777777" w:rsidR="00797A7F" w:rsidRPr="00AB0877" w:rsidRDefault="00797A7F" w:rsidP="00797A7F">
            <w:pPr>
              <w:ind w:left="210" w:hanging="210"/>
            </w:pPr>
            <w:r w:rsidRPr="00AB0877">
              <w:rPr>
                <w:rFonts w:hint="eastAsia"/>
              </w:rPr>
              <w:t>・試験問題及びその解答</w:t>
            </w:r>
          </w:p>
          <w:p w14:paraId="50F700A6" w14:textId="77777777" w:rsidR="00797A7F" w:rsidRPr="00AB0877" w:rsidRDefault="00797A7F" w:rsidP="00797A7F">
            <w:pPr>
              <w:ind w:left="210" w:hanging="210"/>
            </w:pPr>
            <w:r w:rsidRPr="00AB0877">
              <w:rPr>
                <w:rFonts w:hint="eastAsia"/>
              </w:rPr>
              <w:t>・入試方法の区分に応じた受験者数、合格者数及び入学者数等</w:t>
            </w:r>
          </w:p>
          <w:p w14:paraId="281B475B" w14:textId="6A8E6961" w:rsidR="00797A7F" w:rsidRPr="00AB0877" w:rsidRDefault="00797A7F" w:rsidP="00797A7F">
            <w:pPr>
              <w:ind w:left="210" w:hanging="210"/>
            </w:pPr>
            <w:r w:rsidRPr="00AB0877">
              <w:rPr>
                <w:rFonts w:hint="eastAsia"/>
              </w:rPr>
              <w:t>（各年度における「大学入学者選抜実施要項</w:t>
            </w:r>
            <w:r w:rsidRPr="00AB0877">
              <w:rPr>
                <w:vertAlign w:val="superscript"/>
                <w:lang w:eastAsia="zh-CN"/>
              </w:rPr>
              <w:footnoteReference w:id="3"/>
            </w:r>
            <w:r w:rsidRPr="00AB0877">
              <w:rPr>
                <w:rFonts w:hint="eastAsia"/>
              </w:rPr>
              <w:t>」に基づく公表を実施することが想定される。</w:t>
            </w:r>
            <w:r w:rsidRPr="00AB0877">
              <w:rPr>
                <w:rFonts w:hint="eastAsia"/>
                <w:lang w:eastAsia="zh-CN"/>
              </w:rPr>
              <w:t>）</w:t>
            </w:r>
          </w:p>
        </w:tc>
        <w:tc>
          <w:tcPr>
            <w:tcW w:w="5886" w:type="dxa"/>
            <w:shd w:val="clear" w:color="auto" w:fill="auto"/>
            <w:vAlign w:val="center"/>
          </w:tcPr>
          <w:p w14:paraId="398D2A9A" w14:textId="0E9C873E" w:rsidR="00797A7F" w:rsidRPr="00AB0877" w:rsidRDefault="00797A7F" w:rsidP="00797A7F">
            <w:pPr>
              <w:ind w:left="210" w:hanging="210"/>
            </w:pPr>
            <w:r w:rsidRPr="00AB0877">
              <w:rPr>
                <w:rFonts w:hint="eastAsia"/>
              </w:rPr>
              <w:t>・入試情報の収集</w:t>
            </w:r>
          </w:p>
        </w:tc>
      </w:tr>
      <w:tr w:rsidR="00AB0877" w:rsidRPr="00AB0877" w14:paraId="5D079F13" w14:textId="77777777" w:rsidTr="00571938">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08E51337" w14:textId="77777777" w:rsidR="00797A7F" w:rsidRPr="00AB0877" w:rsidRDefault="00797A7F" w:rsidP="00797A7F">
            <w:pPr>
              <w:spacing w:line="380" w:lineRule="exact"/>
              <w:ind w:left="0" w:firstLineChars="0" w:firstLine="0"/>
            </w:pPr>
          </w:p>
        </w:tc>
        <w:tc>
          <w:tcPr>
            <w:tcW w:w="2948" w:type="dxa"/>
            <w:tcBorders>
              <w:left w:val="single" w:sz="4" w:space="0" w:color="auto"/>
              <w:right w:val="single" w:sz="4" w:space="0" w:color="auto"/>
            </w:tcBorders>
            <w:shd w:val="clear" w:color="auto" w:fill="auto"/>
            <w:vAlign w:val="center"/>
          </w:tcPr>
          <w:p w14:paraId="571ED3F6" w14:textId="25FD10F2" w:rsidR="00797A7F" w:rsidRPr="00AB0877" w:rsidRDefault="00797A7F" w:rsidP="00797A7F">
            <w:pPr>
              <w:ind w:left="0" w:firstLineChars="0" w:firstLine="0"/>
            </w:pPr>
            <w:r w:rsidRPr="00AB0877">
              <w:rPr>
                <w:rFonts w:hint="eastAsia"/>
              </w:rPr>
              <w:t>教員一人あたりの学生数</w:t>
            </w:r>
          </w:p>
        </w:tc>
        <w:tc>
          <w:tcPr>
            <w:tcW w:w="5885" w:type="dxa"/>
            <w:tcBorders>
              <w:left w:val="single" w:sz="4" w:space="0" w:color="auto"/>
            </w:tcBorders>
            <w:shd w:val="clear" w:color="auto" w:fill="auto"/>
            <w:vAlign w:val="center"/>
          </w:tcPr>
          <w:p w14:paraId="54B659EF" w14:textId="787FC8F6" w:rsidR="00797A7F" w:rsidRPr="00AB0877" w:rsidRDefault="00797A7F" w:rsidP="00797A7F">
            <w:pPr>
              <w:ind w:left="210" w:hanging="210"/>
            </w:pPr>
            <w:r w:rsidRPr="00AB0877">
              <w:rPr>
                <w:rFonts w:hint="eastAsia"/>
              </w:rPr>
              <w:t>・学生数に対して十分な教員を確保することで、密度の濃い授業や丁寧な履修指導が可能な環境であることを明らかにする</w:t>
            </w:r>
          </w:p>
        </w:tc>
        <w:tc>
          <w:tcPr>
            <w:tcW w:w="5887" w:type="dxa"/>
            <w:shd w:val="clear" w:color="auto" w:fill="auto"/>
            <w:vAlign w:val="center"/>
          </w:tcPr>
          <w:p w14:paraId="594D7648" w14:textId="77777777" w:rsidR="00797A7F" w:rsidRPr="00AB0877" w:rsidRDefault="00797A7F" w:rsidP="00797A7F">
            <w:pPr>
              <w:ind w:left="210" w:hanging="210"/>
            </w:pPr>
            <w:r w:rsidRPr="00AB0877">
              <w:rPr>
                <w:rFonts w:hint="eastAsia"/>
              </w:rPr>
              <w:t>・大学全体としての教員と在籍する学生の人数比</w:t>
            </w:r>
          </w:p>
          <w:p w14:paraId="0BBF9E2C" w14:textId="77777777" w:rsidR="00797A7F" w:rsidRPr="00AB0877" w:rsidRDefault="00797A7F" w:rsidP="00797A7F">
            <w:pPr>
              <w:ind w:left="210" w:hanging="210"/>
            </w:pPr>
            <w:r w:rsidRPr="00AB0877">
              <w:rPr>
                <w:rFonts w:hint="eastAsia"/>
              </w:rPr>
              <w:t>・学位プログラム毎の、専任教員と在籍する学生の人数比。</w:t>
            </w:r>
          </w:p>
          <w:p w14:paraId="5123B4AE" w14:textId="77777777" w:rsidR="00797A7F" w:rsidRPr="00AB0877" w:rsidRDefault="00797A7F" w:rsidP="00797A7F">
            <w:pPr>
              <w:ind w:left="210" w:hanging="210"/>
            </w:pPr>
            <w:r w:rsidRPr="00AB0877">
              <w:rPr>
                <w:rFonts w:hint="eastAsia"/>
              </w:rPr>
              <w:t>（公表の際は、単に人数比を公表するのではなく、クラスサイズや専任教員以外の教員・ＴＡ（ティーチング・アシスタント）・ＲＡ（リサーチ・アシスタント）等の活用状況などを踏まえた分析を付することが望ましい。）</w:t>
            </w:r>
          </w:p>
          <w:p w14:paraId="61D767FA" w14:textId="77777777" w:rsidR="00797A7F" w:rsidRPr="00AB0877" w:rsidRDefault="00797A7F" w:rsidP="00797A7F">
            <w:pPr>
              <w:pStyle w:val="af9"/>
            </w:pPr>
            <w:r w:rsidRPr="00AB0877">
              <w:rPr>
                <w:rFonts w:hint="eastAsia"/>
                <w:shd w:val="pct15" w:color="auto" w:fill="FFFFFF"/>
              </w:rPr>
              <w:t>関連する法令等：</w:t>
            </w:r>
            <w:r w:rsidRPr="00AB0877">
              <w:rPr>
                <w:rFonts w:hint="eastAsia"/>
              </w:rPr>
              <w:t>規則第１７２条の２第１項第３号</w:t>
            </w:r>
          </w:p>
          <w:p w14:paraId="72A5104B" w14:textId="1FBCC9D3" w:rsidR="00797A7F" w:rsidRPr="00AB0877" w:rsidRDefault="00797A7F" w:rsidP="00797A7F">
            <w:pPr>
              <w:pStyle w:val="af9"/>
            </w:pPr>
            <w:r w:rsidRPr="00AB0877">
              <w:rPr>
                <w:rFonts w:hint="eastAsia"/>
                <w:shd w:val="pct15" w:color="auto" w:fill="FFFFFF"/>
              </w:rPr>
              <w:t>関連する調査等：</w:t>
            </w:r>
            <w:r w:rsidRPr="00AB0877">
              <w:rPr>
                <w:rFonts w:hint="eastAsia"/>
              </w:rPr>
              <w:t>「学校基本調査」</w:t>
            </w:r>
          </w:p>
        </w:tc>
        <w:tc>
          <w:tcPr>
            <w:tcW w:w="5886" w:type="dxa"/>
            <w:shd w:val="clear" w:color="auto" w:fill="auto"/>
            <w:vAlign w:val="center"/>
          </w:tcPr>
          <w:p w14:paraId="416F11B8" w14:textId="28975BA0" w:rsidR="00797A7F" w:rsidRPr="00AB0877" w:rsidRDefault="00797A7F" w:rsidP="00797A7F">
            <w:pPr>
              <w:ind w:left="210" w:hanging="210"/>
            </w:pPr>
            <w:r w:rsidRPr="00AB0877">
              <w:rPr>
                <w:rFonts w:hint="eastAsia"/>
              </w:rPr>
              <w:t>・人事記録等（学校基本調査を活用することも考えられる）</w:t>
            </w:r>
          </w:p>
        </w:tc>
      </w:tr>
      <w:tr w:rsidR="00AB0877" w:rsidRPr="00AB0877" w14:paraId="5830459B" w14:textId="77777777" w:rsidTr="00571938">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086E96F0" w14:textId="77777777" w:rsidR="00797A7F" w:rsidRPr="00AB0877" w:rsidRDefault="00797A7F" w:rsidP="00797A7F">
            <w:pPr>
              <w:spacing w:line="380" w:lineRule="exact"/>
              <w:ind w:left="0" w:firstLineChars="0" w:firstLine="0"/>
            </w:pPr>
          </w:p>
        </w:tc>
        <w:tc>
          <w:tcPr>
            <w:tcW w:w="2948" w:type="dxa"/>
            <w:tcBorders>
              <w:left w:val="single" w:sz="4" w:space="0" w:color="auto"/>
              <w:right w:val="single" w:sz="4" w:space="0" w:color="auto"/>
            </w:tcBorders>
            <w:shd w:val="clear" w:color="auto" w:fill="auto"/>
            <w:vAlign w:val="center"/>
          </w:tcPr>
          <w:p w14:paraId="15A13268" w14:textId="51A2D6E6" w:rsidR="00797A7F" w:rsidRPr="00AB0877" w:rsidRDefault="00797A7F" w:rsidP="00797A7F">
            <w:pPr>
              <w:ind w:left="0" w:firstLineChars="0" w:firstLine="0"/>
            </w:pPr>
            <w:r w:rsidRPr="00AB0877">
              <w:rPr>
                <w:rFonts w:hint="eastAsia"/>
              </w:rPr>
              <w:t>学事暦の柔軟化の状況</w:t>
            </w:r>
          </w:p>
        </w:tc>
        <w:tc>
          <w:tcPr>
            <w:tcW w:w="5885" w:type="dxa"/>
            <w:tcBorders>
              <w:left w:val="single" w:sz="4" w:space="0" w:color="auto"/>
            </w:tcBorders>
            <w:shd w:val="clear" w:color="auto" w:fill="auto"/>
            <w:vAlign w:val="center"/>
          </w:tcPr>
          <w:p w14:paraId="6417829E" w14:textId="6F1B2439" w:rsidR="00797A7F" w:rsidRPr="00AB0877" w:rsidRDefault="00797A7F" w:rsidP="00797A7F">
            <w:pPr>
              <w:ind w:left="210" w:hanging="210"/>
            </w:pPr>
            <w:r w:rsidRPr="00AB0877">
              <w:rPr>
                <w:rFonts w:hint="eastAsia"/>
              </w:rPr>
              <w:t>・入学・卒業時期の選択肢や自由度を明らかにすることで、密度の濃い主体的な学修が可能とする環境や、留学等との接続が容易な環境であることを明らかにする</w:t>
            </w:r>
          </w:p>
        </w:tc>
        <w:tc>
          <w:tcPr>
            <w:tcW w:w="5887" w:type="dxa"/>
            <w:shd w:val="clear" w:color="auto" w:fill="auto"/>
            <w:vAlign w:val="center"/>
          </w:tcPr>
          <w:p w14:paraId="434C8B72" w14:textId="77777777" w:rsidR="00797A7F" w:rsidRPr="00AB0877" w:rsidRDefault="00797A7F" w:rsidP="00797A7F">
            <w:pPr>
              <w:ind w:left="210" w:hanging="210"/>
            </w:pPr>
            <w:r w:rsidRPr="00AB0877">
              <w:rPr>
                <w:rFonts w:hint="eastAsia"/>
              </w:rPr>
              <w:t>・大学としての学事暦の状況（具体的な授業期間など）（学位プログラムにより異なる場合は学位プログラム毎の状況）</w:t>
            </w:r>
          </w:p>
          <w:p w14:paraId="74FAC222" w14:textId="03B95071" w:rsidR="00797A7F" w:rsidRPr="00AB0877" w:rsidRDefault="00797A7F" w:rsidP="00797A7F">
            <w:pPr>
              <w:ind w:left="210" w:hanging="210"/>
            </w:pPr>
            <w:r w:rsidRPr="00AB0877">
              <w:rPr>
                <w:rFonts w:hint="eastAsia"/>
              </w:rPr>
              <w:t>（</w:t>
            </w:r>
            <w:r w:rsidR="00994941" w:rsidRPr="00AB0877">
              <w:rPr>
                <w:rFonts w:hint="eastAsia"/>
              </w:rPr>
              <w:t>各授業科目における到達目標の達成状況</w:t>
            </w:r>
            <w:r w:rsidRPr="00AB0877">
              <w:rPr>
                <w:rFonts w:hint="eastAsia"/>
              </w:rPr>
              <w:t>と併せて分析を行い、公表することが有益）</w:t>
            </w:r>
          </w:p>
        </w:tc>
        <w:tc>
          <w:tcPr>
            <w:tcW w:w="5886" w:type="dxa"/>
            <w:shd w:val="clear" w:color="auto" w:fill="auto"/>
            <w:vAlign w:val="center"/>
          </w:tcPr>
          <w:p w14:paraId="52F69147" w14:textId="26D98905" w:rsidR="00797A7F" w:rsidRPr="00AB0877" w:rsidRDefault="00797A7F" w:rsidP="00797A7F">
            <w:pPr>
              <w:ind w:left="210" w:hanging="210"/>
            </w:pPr>
            <w:r w:rsidRPr="00AB0877">
              <w:rPr>
                <w:rFonts w:hint="eastAsia"/>
              </w:rPr>
              <w:t>・学事暦に関する学内規定の確認</w:t>
            </w:r>
          </w:p>
        </w:tc>
      </w:tr>
      <w:tr w:rsidR="00AB0877" w:rsidRPr="00AB0877" w14:paraId="3E8309AC" w14:textId="77777777" w:rsidTr="00571938">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4EEB2BF7" w14:textId="77777777" w:rsidR="00797A7F" w:rsidRPr="00AB0877" w:rsidRDefault="00797A7F" w:rsidP="00797A7F">
            <w:pPr>
              <w:ind w:left="0" w:firstLineChars="0" w:firstLine="0"/>
            </w:pPr>
          </w:p>
        </w:tc>
        <w:tc>
          <w:tcPr>
            <w:tcW w:w="2948" w:type="dxa"/>
            <w:tcBorders>
              <w:left w:val="single" w:sz="4" w:space="0" w:color="auto"/>
              <w:right w:val="single" w:sz="4" w:space="0" w:color="auto"/>
            </w:tcBorders>
            <w:shd w:val="clear" w:color="auto" w:fill="auto"/>
            <w:vAlign w:val="center"/>
          </w:tcPr>
          <w:p w14:paraId="2F0288B6" w14:textId="026A439C" w:rsidR="00797A7F" w:rsidRPr="00AB0877" w:rsidRDefault="00797A7F" w:rsidP="00797A7F">
            <w:pPr>
              <w:ind w:left="0" w:firstLineChars="0" w:firstLine="0"/>
            </w:pPr>
            <w:r w:rsidRPr="00AB0877">
              <w:rPr>
                <w:rFonts w:hint="eastAsia"/>
              </w:rPr>
              <w:t>履修単位の登録上限設定の状況</w:t>
            </w:r>
          </w:p>
        </w:tc>
        <w:tc>
          <w:tcPr>
            <w:tcW w:w="5885" w:type="dxa"/>
            <w:tcBorders>
              <w:left w:val="single" w:sz="4" w:space="0" w:color="auto"/>
            </w:tcBorders>
            <w:shd w:val="clear" w:color="auto" w:fill="auto"/>
            <w:vAlign w:val="center"/>
          </w:tcPr>
          <w:p w14:paraId="0F4369C3" w14:textId="41B07364" w:rsidR="00797A7F" w:rsidRPr="00AB0877" w:rsidRDefault="00797A7F" w:rsidP="00797A7F">
            <w:pPr>
              <w:ind w:left="210" w:hanging="210"/>
            </w:pPr>
            <w:r w:rsidRPr="00AB0877">
              <w:rPr>
                <w:rFonts w:hint="eastAsia"/>
              </w:rPr>
              <w:t>・履修単位の登録上限に関する制限やその例外を明らかにすることで、大学が、密度の濃い主体的な学修を可能としつつ、意欲・能力のある学生には更なる学修を可能とする環境を提供していることを明らかにする</w:t>
            </w:r>
          </w:p>
        </w:tc>
        <w:tc>
          <w:tcPr>
            <w:tcW w:w="5887" w:type="dxa"/>
            <w:shd w:val="clear" w:color="auto" w:fill="auto"/>
            <w:vAlign w:val="center"/>
          </w:tcPr>
          <w:p w14:paraId="29479441" w14:textId="77777777" w:rsidR="00797A7F" w:rsidRPr="00AB0877" w:rsidRDefault="00797A7F" w:rsidP="00797A7F">
            <w:pPr>
              <w:ind w:left="210" w:hanging="210"/>
            </w:pPr>
            <w:r w:rsidRPr="00AB0877">
              <w:rPr>
                <w:rFonts w:hint="eastAsia"/>
              </w:rPr>
              <w:t>・履修単位の登録上限制度の有無</w:t>
            </w:r>
          </w:p>
          <w:p w14:paraId="3A0F52B0" w14:textId="77777777" w:rsidR="00797A7F" w:rsidRPr="00AB0877" w:rsidRDefault="00797A7F" w:rsidP="00797A7F">
            <w:pPr>
              <w:ind w:left="210" w:hanging="210"/>
            </w:pPr>
            <w:r w:rsidRPr="00AB0877">
              <w:rPr>
                <w:rFonts w:hint="eastAsia"/>
              </w:rPr>
              <w:t>・制度の具体的な内容（上限単位数など）</w:t>
            </w:r>
          </w:p>
          <w:p w14:paraId="78E3F1F1" w14:textId="77777777" w:rsidR="00797A7F" w:rsidRPr="00AB0877" w:rsidRDefault="00797A7F" w:rsidP="00797A7F">
            <w:pPr>
              <w:ind w:left="210" w:hanging="210"/>
            </w:pPr>
            <w:r w:rsidRPr="00AB0877">
              <w:rPr>
                <w:rFonts w:hint="eastAsia"/>
              </w:rPr>
              <w:t>・例外の具体的な要件（成績要件と追加登録が可能な単位数など）</w:t>
            </w:r>
          </w:p>
          <w:p w14:paraId="5BC599BE" w14:textId="774FB0BA" w:rsidR="00797A7F" w:rsidRPr="00AB0877" w:rsidRDefault="00797A7F" w:rsidP="00797A7F">
            <w:pPr>
              <w:ind w:left="210" w:hanging="210"/>
            </w:pPr>
            <w:r w:rsidRPr="00AB0877">
              <w:rPr>
                <w:rFonts w:hint="eastAsia"/>
              </w:rPr>
              <w:t>（</w:t>
            </w:r>
            <w:r w:rsidR="00994941" w:rsidRPr="00AB0877">
              <w:rPr>
                <w:rFonts w:hint="eastAsia"/>
              </w:rPr>
              <w:t>各授業科目における到達目標の達成状況</w:t>
            </w:r>
            <w:r w:rsidR="00994941">
              <w:rPr>
                <w:rFonts w:hint="eastAsia"/>
              </w:rPr>
              <w:t>や</w:t>
            </w:r>
            <w:r w:rsidRPr="00AB0877">
              <w:rPr>
                <w:rFonts w:hint="eastAsia"/>
              </w:rPr>
              <w:t>学修時間と併せて分析を行い、公表することが有益）</w:t>
            </w:r>
          </w:p>
          <w:p w14:paraId="283D27CC" w14:textId="46A7FD24" w:rsidR="00797A7F" w:rsidRPr="00AB0877" w:rsidRDefault="00797A7F" w:rsidP="00CA009A">
            <w:pPr>
              <w:ind w:leftChars="100" w:left="210" w:firstLineChars="0" w:firstLine="0"/>
            </w:pPr>
            <w:r w:rsidRPr="00AB0877">
              <w:rPr>
                <w:rFonts w:hint="eastAsia"/>
                <w:shd w:val="pct15" w:color="auto" w:fill="FFFFFF"/>
              </w:rPr>
              <w:t>関連する法令等：</w:t>
            </w:r>
            <w:r w:rsidRPr="00AB0877">
              <w:rPr>
                <w:rFonts w:hint="eastAsia"/>
              </w:rPr>
              <w:t>基準第２７条の２</w:t>
            </w:r>
          </w:p>
        </w:tc>
        <w:tc>
          <w:tcPr>
            <w:tcW w:w="5886" w:type="dxa"/>
            <w:shd w:val="clear" w:color="auto" w:fill="auto"/>
            <w:vAlign w:val="center"/>
          </w:tcPr>
          <w:p w14:paraId="4D2C7B4D" w14:textId="35A7363B" w:rsidR="00797A7F" w:rsidRPr="00AB0877" w:rsidRDefault="00797A7F" w:rsidP="00797A7F">
            <w:pPr>
              <w:ind w:left="210" w:hanging="210"/>
            </w:pPr>
            <w:r w:rsidRPr="00AB0877">
              <w:rPr>
                <w:rFonts w:hint="eastAsia"/>
              </w:rPr>
              <w:t>・学内規定の確認</w:t>
            </w:r>
          </w:p>
        </w:tc>
      </w:tr>
      <w:tr w:rsidR="00AB0877" w:rsidRPr="00AB0877" w14:paraId="24154BB7" w14:textId="77777777" w:rsidTr="00571938">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4416D703" w14:textId="77777777" w:rsidR="00797A7F" w:rsidRPr="00AB0877" w:rsidRDefault="00797A7F" w:rsidP="00797A7F">
            <w:pPr>
              <w:ind w:left="0" w:firstLineChars="0" w:firstLine="0"/>
            </w:pPr>
          </w:p>
        </w:tc>
        <w:tc>
          <w:tcPr>
            <w:tcW w:w="2948" w:type="dxa"/>
            <w:tcBorders>
              <w:left w:val="single" w:sz="4" w:space="0" w:color="auto"/>
              <w:right w:val="single" w:sz="4" w:space="0" w:color="auto"/>
            </w:tcBorders>
            <w:shd w:val="clear" w:color="auto" w:fill="auto"/>
            <w:vAlign w:val="center"/>
          </w:tcPr>
          <w:p w14:paraId="3B436B87" w14:textId="6AD83B57" w:rsidR="00797A7F" w:rsidRPr="00AB0877" w:rsidRDefault="00797A7F" w:rsidP="00797A7F">
            <w:pPr>
              <w:ind w:left="0" w:firstLineChars="0" w:firstLine="0"/>
            </w:pPr>
            <w:r w:rsidRPr="00AB0877">
              <w:rPr>
                <w:rFonts w:hint="eastAsia"/>
              </w:rPr>
              <w:t>授業の方法や内容・授業計画（シラバスの内容）</w:t>
            </w:r>
          </w:p>
        </w:tc>
        <w:tc>
          <w:tcPr>
            <w:tcW w:w="5885" w:type="dxa"/>
            <w:tcBorders>
              <w:left w:val="single" w:sz="4" w:space="0" w:color="auto"/>
            </w:tcBorders>
            <w:shd w:val="clear" w:color="auto" w:fill="auto"/>
            <w:vAlign w:val="center"/>
          </w:tcPr>
          <w:p w14:paraId="2480E0ED" w14:textId="04696482" w:rsidR="00797A7F" w:rsidRPr="00AB0877" w:rsidRDefault="00797A7F" w:rsidP="00797A7F">
            <w:pPr>
              <w:ind w:left="210" w:hanging="210"/>
            </w:pPr>
            <w:r w:rsidRPr="00AB0877">
              <w:rPr>
                <w:rFonts w:hint="eastAsia"/>
              </w:rPr>
              <w:t>・学生と教員との</w:t>
            </w:r>
            <w:r w:rsidRPr="00AB0877">
              <w:rPr>
                <w:rFonts w:hint="eastAsia"/>
                <w:i/>
              </w:rPr>
              <w:t>契約書ともいえる</w:t>
            </w:r>
            <w:r w:rsidRPr="00AB0877">
              <w:rPr>
                <w:rFonts w:hint="eastAsia"/>
              </w:rPr>
              <w:t>シラバスについて、適切な到達目標や講義方法、講義計画、成績評価基準を定めると共に、学生の主体的な学びを助ける事前事後学修課題を提示することで、大学が、個々の授業科目を「卒業認定・学位授与の方針」を踏まえて適切に設計していることを明らかにする</w:t>
            </w:r>
          </w:p>
        </w:tc>
        <w:tc>
          <w:tcPr>
            <w:tcW w:w="5887" w:type="dxa"/>
            <w:shd w:val="clear" w:color="auto" w:fill="auto"/>
            <w:vAlign w:val="center"/>
          </w:tcPr>
          <w:p w14:paraId="5A4171EB" w14:textId="77777777" w:rsidR="00797A7F" w:rsidRPr="00AB0877" w:rsidRDefault="00797A7F" w:rsidP="00797A7F">
            <w:pPr>
              <w:ind w:left="210" w:hanging="210"/>
            </w:pPr>
            <w:r w:rsidRPr="00AB0877">
              <w:rPr>
                <w:rFonts w:hint="eastAsia"/>
              </w:rPr>
              <w:t>・大学としてのシラバス作成に関する方針（どのような項目をどのような観点から記載しているかを説明するもの）</w:t>
            </w:r>
          </w:p>
          <w:p w14:paraId="1BBC2209" w14:textId="77777777" w:rsidR="00797A7F" w:rsidRPr="00AB0877" w:rsidRDefault="00797A7F" w:rsidP="00797A7F">
            <w:pPr>
              <w:ind w:left="210" w:hanging="210"/>
            </w:pPr>
            <w:r w:rsidRPr="00AB0877">
              <w:rPr>
                <w:rFonts w:hint="eastAsia"/>
              </w:rPr>
              <w:t>・個々の授業科目のシラバス（特に必修科目や選択科目については、可能な範囲で学位プログラム毎に編集されることが望ましい）</w:t>
            </w:r>
          </w:p>
          <w:p w14:paraId="1B7268B2" w14:textId="18586B1D" w:rsidR="00797A7F" w:rsidRPr="00AB0877" w:rsidRDefault="00797A7F" w:rsidP="00797A7F">
            <w:pPr>
              <w:ind w:left="210" w:hanging="210"/>
            </w:pPr>
            <w:r w:rsidRPr="00AB0877">
              <w:rPr>
                <w:rFonts w:hint="eastAsia"/>
              </w:rPr>
              <w:t>（カリキュラムマップ、カリキュラムツリー等の活用状況</w:t>
            </w:r>
            <w:r w:rsidR="00994941">
              <w:rPr>
                <w:rFonts w:hint="eastAsia"/>
              </w:rPr>
              <w:t>や</w:t>
            </w:r>
            <w:r w:rsidR="00994941" w:rsidRPr="00AB0877">
              <w:rPr>
                <w:rFonts w:hint="eastAsia"/>
              </w:rPr>
              <w:t>ナンバリングの実施状況</w:t>
            </w:r>
            <w:r w:rsidRPr="00AB0877">
              <w:rPr>
                <w:rFonts w:hint="eastAsia"/>
              </w:rPr>
              <w:t>との関係も併せて公表することが有益）</w:t>
            </w:r>
          </w:p>
          <w:p w14:paraId="272CA82E" w14:textId="77777777" w:rsidR="00994941" w:rsidRDefault="00797A7F" w:rsidP="00CA009A">
            <w:pPr>
              <w:ind w:leftChars="100" w:left="1890" w:hangingChars="800" w:hanging="1680"/>
            </w:pPr>
            <w:r w:rsidRPr="00AB0877">
              <w:rPr>
                <w:rFonts w:hint="eastAsia"/>
                <w:shd w:val="pct15" w:color="auto" w:fill="FFFFFF"/>
              </w:rPr>
              <w:t>関連する法令等：</w:t>
            </w:r>
            <w:r w:rsidRPr="00AB0877">
              <w:rPr>
                <w:rFonts w:hint="eastAsia"/>
              </w:rPr>
              <w:t>規則第１７２条の２第１項第５号、</w:t>
            </w:r>
          </w:p>
          <w:p w14:paraId="7F41B77D" w14:textId="52B74F0E" w:rsidR="00797A7F" w:rsidRPr="00AB0877" w:rsidRDefault="00994941" w:rsidP="00CA009A">
            <w:pPr>
              <w:ind w:leftChars="100" w:left="1890" w:hangingChars="800" w:hanging="1680"/>
            </w:pPr>
            <w:r>
              <w:rPr>
                <w:rFonts w:hint="eastAsia"/>
              </w:rPr>
              <w:t xml:space="preserve">　　　　　　　　</w:t>
            </w:r>
            <w:r w:rsidR="00797A7F" w:rsidRPr="00AB0877">
              <w:rPr>
                <w:rFonts w:hint="eastAsia"/>
              </w:rPr>
              <w:t>基準第２５条の２第１項</w:t>
            </w:r>
          </w:p>
        </w:tc>
        <w:tc>
          <w:tcPr>
            <w:tcW w:w="5886" w:type="dxa"/>
            <w:shd w:val="clear" w:color="auto" w:fill="auto"/>
            <w:vAlign w:val="center"/>
          </w:tcPr>
          <w:p w14:paraId="6F29FCFE" w14:textId="77777777" w:rsidR="00797A7F" w:rsidRPr="00AB0877" w:rsidRDefault="00797A7F" w:rsidP="00797A7F">
            <w:pPr>
              <w:ind w:left="210" w:hanging="210"/>
            </w:pPr>
            <w:r w:rsidRPr="00AB0877">
              <w:rPr>
                <w:rFonts w:hint="eastAsia"/>
              </w:rPr>
              <w:t>・学内におけるシラバス作成に関する方針の確認</w:t>
            </w:r>
          </w:p>
          <w:p w14:paraId="17293CFC" w14:textId="38DB9A9A" w:rsidR="00797A7F" w:rsidRPr="00AB0877" w:rsidRDefault="00797A7F" w:rsidP="00797A7F">
            <w:pPr>
              <w:ind w:left="210" w:hanging="210"/>
            </w:pPr>
            <w:r w:rsidRPr="00AB0877">
              <w:rPr>
                <w:rFonts w:hint="eastAsia"/>
              </w:rPr>
              <w:t>・電子シラバスへの登録等を通じたシラバスの収集</w:t>
            </w:r>
          </w:p>
        </w:tc>
      </w:tr>
      <w:tr w:rsidR="00AB0877" w:rsidRPr="00AB0877" w14:paraId="57E085BF" w14:textId="77777777" w:rsidTr="00571938">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60067FD9" w14:textId="77777777" w:rsidR="00797A7F" w:rsidRPr="00AB0877" w:rsidRDefault="00797A7F" w:rsidP="00797A7F">
            <w:pPr>
              <w:ind w:left="210" w:hanging="210"/>
            </w:pPr>
          </w:p>
        </w:tc>
        <w:tc>
          <w:tcPr>
            <w:tcW w:w="2948" w:type="dxa"/>
            <w:tcBorders>
              <w:left w:val="single" w:sz="4" w:space="0" w:color="auto"/>
              <w:right w:val="single" w:sz="4" w:space="0" w:color="auto"/>
            </w:tcBorders>
            <w:shd w:val="clear" w:color="auto" w:fill="auto"/>
            <w:vAlign w:val="center"/>
          </w:tcPr>
          <w:p w14:paraId="746395E6" w14:textId="5BC6E960" w:rsidR="00797A7F" w:rsidRPr="00AB0877" w:rsidRDefault="00797A7F" w:rsidP="00797A7F">
            <w:pPr>
              <w:ind w:left="0" w:firstLineChars="0" w:firstLine="0"/>
              <w:rPr>
                <w:i/>
              </w:rPr>
            </w:pPr>
            <w:r w:rsidRPr="00AB0877">
              <w:rPr>
                <w:rFonts w:hint="eastAsia"/>
              </w:rPr>
              <w:t>早期卒業や大学院への飛び入学の状況</w:t>
            </w:r>
          </w:p>
        </w:tc>
        <w:tc>
          <w:tcPr>
            <w:tcW w:w="5885" w:type="dxa"/>
            <w:tcBorders>
              <w:left w:val="single" w:sz="4" w:space="0" w:color="auto"/>
            </w:tcBorders>
            <w:shd w:val="clear" w:color="auto" w:fill="auto"/>
            <w:vAlign w:val="center"/>
          </w:tcPr>
          <w:p w14:paraId="2B7A923D" w14:textId="78F3E322" w:rsidR="00797A7F" w:rsidRPr="00AB0877" w:rsidRDefault="00797A7F" w:rsidP="00797A7F">
            <w:pPr>
              <w:ind w:left="210" w:hanging="210"/>
              <w:rPr>
                <w:i/>
              </w:rPr>
            </w:pPr>
            <w:r w:rsidRPr="00AB0877">
              <w:rPr>
                <w:rFonts w:hint="eastAsia"/>
              </w:rPr>
              <w:t>・意欲や能力を備えた学生の多様な学修ニーズに対応できる選択肢が複数存在することを明らかにすると共に、当該選択肢の活用状況を明らかにする</w:t>
            </w:r>
          </w:p>
        </w:tc>
        <w:tc>
          <w:tcPr>
            <w:tcW w:w="5887" w:type="dxa"/>
            <w:shd w:val="clear" w:color="auto" w:fill="auto"/>
            <w:vAlign w:val="center"/>
          </w:tcPr>
          <w:p w14:paraId="3F5D98B2" w14:textId="77777777" w:rsidR="00797A7F" w:rsidRPr="00AB0877" w:rsidRDefault="00797A7F" w:rsidP="00797A7F">
            <w:pPr>
              <w:ind w:left="210" w:hanging="210"/>
            </w:pPr>
            <w:r w:rsidRPr="00AB0877">
              <w:rPr>
                <w:rFonts w:hint="eastAsia"/>
              </w:rPr>
              <w:t>・早期卒業及び大学院への飛び入学に関する要件</w:t>
            </w:r>
          </w:p>
          <w:p w14:paraId="18490767" w14:textId="04B7BC8F" w:rsidR="00797A7F" w:rsidRPr="00AB0877" w:rsidRDefault="00797A7F" w:rsidP="00797A7F">
            <w:pPr>
              <w:ind w:left="210" w:hanging="210"/>
              <w:rPr>
                <w:i/>
              </w:rPr>
            </w:pPr>
            <w:r w:rsidRPr="00AB0877">
              <w:rPr>
                <w:rFonts w:hint="eastAsia"/>
              </w:rPr>
              <w:t>・学位プログラム毎の早期卒業者・大学院への飛び入学者の人数及び割合</w:t>
            </w:r>
          </w:p>
        </w:tc>
        <w:tc>
          <w:tcPr>
            <w:tcW w:w="5886" w:type="dxa"/>
            <w:shd w:val="clear" w:color="auto" w:fill="auto"/>
            <w:vAlign w:val="center"/>
          </w:tcPr>
          <w:p w14:paraId="17C96FE6" w14:textId="77777777" w:rsidR="00797A7F" w:rsidRPr="00AB0877" w:rsidRDefault="00797A7F" w:rsidP="00797A7F">
            <w:pPr>
              <w:ind w:left="210" w:hanging="210"/>
            </w:pPr>
            <w:r w:rsidRPr="00AB0877">
              <w:rPr>
                <w:rFonts w:hint="eastAsia"/>
              </w:rPr>
              <w:t>・早期卒業及び大学院への飛び入学に関する学内規定の確認</w:t>
            </w:r>
          </w:p>
          <w:p w14:paraId="44ADBAB5" w14:textId="25D69C01" w:rsidR="00797A7F" w:rsidRPr="00AB0877" w:rsidRDefault="00797A7F" w:rsidP="00797A7F">
            <w:pPr>
              <w:ind w:left="210" w:hanging="210"/>
              <w:rPr>
                <w:i/>
              </w:rPr>
            </w:pPr>
            <w:r w:rsidRPr="00AB0877">
              <w:rPr>
                <w:rFonts w:hint="eastAsia"/>
              </w:rPr>
              <w:t>・教務履歴の収集</w:t>
            </w:r>
          </w:p>
        </w:tc>
      </w:tr>
      <w:tr w:rsidR="00AB0877" w:rsidRPr="00AB0877" w14:paraId="57D19E0A" w14:textId="77777777" w:rsidTr="00571938">
        <w:trPr>
          <w:cantSplit/>
          <w:trHeight w:val="567"/>
        </w:trPr>
        <w:tc>
          <w:tcPr>
            <w:tcW w:w="680" w:type="dxa"/>
            <w:vMerge/>
            <w:tcBorders>
              <w:left w:val="single" w:sz="4" w:space="0" w:color="auto"/>
              <w:right w:val="single" w:sz="4" w:space="0" w:color="auto"/>
            </w:tcBorders>
            <w:shd w:val="clear" w:color="auto" w:fill="FFFFFF" w:themeFill="background1"/>
            <w:vAlign w:val="center"/>
          </w:tcPr>
          <w:p w14:paraId="5B77E1FA" w14:textId="77777777" w:rsidR="00797A7F" w:rsidRPr="00AB0877" w:rsidRDefault="00797A7F" w:rsidP="00797A7F">
            <w:pPr>
              <w:ind w:left="210" w:hanging="210"/>
            </w:pPr>
          </w:p>
        </w:tc>
        <w:tc>
          <w:tcPr>
            <w:tcW w:w="2948" w:type="dxa"/>
            <w:tcBorders>
              <w:left w:val="single" w:sz="4" w:space="0" w:color="auto"/>
              <w:right w:val="single" w:sz="4" w:space="0" w:color="auto"/>
            </w:tcBorders>
            <w:shd w:val="clear" w:color="auto" w:fill="auto"/>
            <w:vAlign w:val="center"/>
          </w:tcPr>
          <w:p w14:paraId="21251BC0" w14:textId="352B96D9" w:rsidR="00797A7F" w:rsidRPr="00AB0877" w:rsidRDefault="00797A7F" w:rsidP="00797A7F">
            <w:pPr>
              <w:ind w:left="0" w:firstLineChars="0" w:firstLine="0"/>
            </w:pPr>
            <w:r w:rsidRPr="00AB0877">
              <w:rPr>
                <w:rFonts w:hint="eastAsia"/>
              </w:rPr>
              <w:t>ＦＤ・ＳＤの実施状況</w:t>
            </w:r>
          </w:p>
        </w:tc>
        <w:tc>
          <w:tcPr>
            <w:tcW w:w="5885" w:type="dxa"/>
            <w:tcBorders>
              <w:left w:val="single" w:sz="4" w:space="0" w:color="auto"/>
            </w:tcBorders>
            <w:shd w:val="clear" w:color="auto" w:fill="auto"/>
            <w:vAlign w:val="center"/>
          </w:tcPr>
          <w:p w14:paraId="27A645C1" w14:textId="6446DD6B" w:rsidR="00797A7F" w:rsidRPr="00AB0877" w:rsidRDefault="00797A7F" w:rsidP="00797A7F">
            <w:pPr>
              <w:ind w:left="210" w:hanging="210"/>
            </w:pPr>
            <w:r w:rsidRPr="00AB0877">
              <w:rPr>
                <w:rFonts w:hint="eastAsia"/>
              </w:rPr>
              <w:t>・「卒業認定・学位授与の方針」に基づき教育の成果を最大化するため、当該方針に沿った学修者本位の教育を提供するために必要な望ましい教職員像を定義し、これを踏まえて最適なＦＤ・ＳＤを実施していることを明らかにする</w:t>
            </w:r>
          </w:p>
        </w:tc>
        <w:tc>
          <w:tcPr>
            <w:tcW w:w="5887" w:type="dxa"/>
            <w:shd w:val="clear" w:color="auto" w:fill="auto"/>
            <w:vAlign w:val="center"/>
          </w:tcPr>
          <w:p w14:paraId="0DA942DE" w14:textId="77777777" w:rsidR="00797A7F" w:rsidRPr="00AB0877" w:rsidRDefault="00797A7F" w:rsidP="00797A7F">
            <w:pPr>
              <w:ind w:left="210" w:hanging="210"/>
            </w:pPr>
            <w:r w:rsidRPr="00AB0877">
              <w:rPr>
                <w:rFonts w:hint="eastAsia"/>
              </w:rPr>
              <w:t>・「卒業認定・学位授与の方針」に沿った学修者本位の教育を提供するために必要な望ましい教職員像</w:t>
            </w:r>
          </w:p>
          <w:p w14:paraId="3176EED4" w14:textId="77777777" w:rsidR="00797A7F" w:rsidRPr="00AB0877" w:rsidRDefault="00797A7F" w:rsidP="00797A7F">
            <w:pPr>
              <w:ind w:left="210" w:hanging="210"/>
            </w:pPr>
            <w:r w:rsidRPr="00AB0877">
              <w:rPr>
                <w:rFonts w:hint="eastAsia"/>
              </w:rPr>
              <w:t>・大学として実施しているＦＤ・ＳＤの内容（対象別の内容や頻度、参加率（どのような立場の者がどのような内容のＦＤ・ＳＤに参加したかが分かることが望ましい）など）</w:t>
            </w:r>
          </w:p>
          <w:p w14:paraId="3AB50CFD" w14:textId="77777777" w:rsidR="00797A7F" w:rsidRPr="00AB0877" w:rsidRDefault="00797A7F" w:rsidP="00797A7F">
            <w:pPr>
              <w:ind w:left="210" w:hanging="210"/>
            </w:pPr>
            <w:r w:rsidRPr="00AB0877">
              <w:rPr>
                <w:rFonts w:hint="eastAsia"/>
              </w:rPr>
              <w:t>・他大学や教育関係共同利用拠点との連携等によりＦＤ・ＳＤを実施している場合は、連携して実施するＦＤ・ＳＤの概要（連携先の名称や、ＦＤ・ＳＤの内容、頻度など）</w:t>
            </w:r>
          </w:p>
          <w:p w14:paraId="4EC014CF" w14:textId="77777777" w:rsidR="00797A7F" w:rsidRPr="00AB0877" w:rsidRDefault="00797A7F" w:rsidP="00797A7F">
            <w:pPr>
              <w:ind w:left="210" w:hanging="210"/>
            </w:pPr>
            <w:r w:rsidRPr="00AB0877">
              <w:rPr>
                <w:rFonts w:hint="eastAsia"/>
              </w:rPr>
              <w:t>・ＦＤ・ＳＤを担当する組織・部局を有する場合は、その概要（スタッフの人数や大学組織上の位置付けなど）</w:t>
            </w:r>
          </w:p>
          <w:p w14:paraId="39EB2D4E" w14:textId="77777777" w:rsidR="00797A7F" w:rsidRPr="00AB0877" w:rsidRDefault="00797A7F" w:rsidP="00797A7F">
            <w:pPr>
              <w:pStyle w:val="af9"/>
            </w:pPr>
            <w:r w:rsidRPr="00AB0877">
              <w:rPr>
                <w:rFonts w:hint="eastAsia"/>
                <w:shd w:val="pct15" w:color="auto" w:fill="FFFFFF"/>
              </w:rPr>
              <w:t>関連する法令等：</w:t>
            </w:r>
            <w:r w:rsidRPr="00AB0877">
              <w:rPr>
                <w:rFonts w:hint="eastAsia"/>
              </w:rPr>
              <w:t>基準第２５条の３、第４２条の３</w:t>
            </w:r>
          </w:p>
          <w:p w14:paraId="30CECF03" w14:textId="59EF6BE8" w:rsidR="00797A7F" w:rsidRPr="00AB0877" w:rsidRDefault="00797A7F" w:rsidP="00797A7F">
            <w:pPr>
              <w:pStyle w:val="af9"/>
            </w:pPr>
            <w:r w:rsidRPr="00AB0877">
              <w:rPr>
                <w:rFonts w:hint="eastAsia"/>
                <w:shd w:val="pct15" w:color="auto" w:fill="FFFFFF"/>
              </w:rPr>
              <w:t>関連する調査等：</w:t>
            </w:r>
            <w:r w:rsidRPr="00AB0877">
              <w:rPr>
                <w:rFonts w:hint="eastAsia"/>
              </w:rPr>
              <w:t>「大学における教育内容等の改革状況について</w:t>
            </w:r>
            <w:r w:rsidR="00994941" w:rsidRPr="00AB0877">
              <w:rPr>
                <w:rStyle w:val="af5"/>
              </w:rPr>
              <w:footnoteReference w:id="4"/>
            </w:r>
            <w:r w:rsidRPr="00AB0877">
              <w:rPr>
                <w:rFonts w:hint="eastAsia"/>
              </w:rPr>
              <w:t>」</w:t>
            </w:r>
          </w:p>
        </w:tc>
        <w:tc>
          <w:tcPr>
            <w:tcW w:w="5886" w:type="dxa"/>
            <w:shd w:val="clear" w:color="auto" w:fill="auto"/>
            <w:vAlign w:val="center"/>
          </w:tcPr>
          <w:p w14:paraId="08E86E06" w14:textId="42761CBF" w:rsidR="00797A7F" w:rsidRPr="00AB0877" w:rsidRDefault="00797A7F" w:rsidP="00797A7F">
            <w:pPr>
              <w:ind w:left="210" w:hanging="210"/>
            </w:pPr>
            <w:r w:rsidRPr="00AB0877">
              <w:rPr>
                <w:rFonts w:hint="eastAsia"/>
              </w:rPr>
              <w:t>・ＦＤ・ＳＤの内容の収集</w:t>
            </w:r>
          </w:p>
        </w:tc>
      </w:tr>
      <w:tr w:rsidR="00AB0877" w:rsidRPr="00AB0877" w14:paraId="55DAAD4E" w14:textId="77777777" w:rsidTr="00571938">
        <w:trPr>
          <w:trHeight w:val="567"/>
        </w:trPr>
        <w:tc>
          <w:tcPr>
            <w:tcW w:w="680" w:type="dxa"/>
            <w:vMerge w:val="restart"/>
            <w:tcBorders>
              <w:left w:val="single" w:sz="4" w:space="0" w:color="auto"/>
              <w:right w:val="single" w:sz="4" w:space="0" w:color="auto"/>
            </w:tcBorders>
            <w:shd w:val="clear" w:color="auto" w:fill="FFFFFF" w:themeFill="background1"/>
            <w:textDirection w:val="tbRlV"/>
            <w:vAlign w:val="center"/>
          </w:tcPr>
          <w:p w14:paraId="1FA8D8E0" w14:textId="55FB60F4" w:rsidR="00797A7F" w:rsidRPr="00AB0877" w:rsidRDefault="00797A7F" w:rsidP="00571938">
            <w:pPr>
              <w:spacing w:line="0" w:lineRule="atLeast"/>
              <w:ind w:left="210" w:hanging="210"/>
              <w:jc w:val="center"/>
            </w:pPr>
            <w:r w:rsidRPr="00AB0877">
              <w:rPr>
                <w:rFonts w:hint="eastAsia"/>
              </w:rPr>
              <w:t>②教学マネジメントを確立する上で各大学の判断の下で収集することが</w:t>
            </w:r>
            <w:r w:rsidR="00571938" w:rsidRPr="00AB0877">
              <w:rPr>
                <w:rFonts w:hint="eastAsia"/>
              </w:rPr>
              <w:t>想定される情報</w:t>
            </w:r>
          </w:p>
        </w:tc>
        <w:tc>
          <w:tcPr>
            <w:tcW w:w="2948" w:type="dxa"/>
            <w:tcBorders>
              <w:left w:val="single" w:sz="4" w:space="0" w:color="auto"/>
              <w:right w:val="single" w:sz="4" w:space="0" w:color="auto"/>
            </w:tcBorders>
            <w:shd w:val="clear" w:color="auto" w:fill="auto"/>
            <w:vAlign w:val="center"/>
          </w:tcPr>
          <w:p w14:paraId="2B94CACA" w14:textId="53B3AB44" w:rsidR="00797A7F" w:rsidRPr="00AB0877" w:rsidRDefault="00797A7F" w:rsidP="00797A7F">
            <w:pPr>
              <w:ind w:left="0" w:firstLineChars="0" w:firstLine="0"/>
            </w:pPr>
            <w:r w:rsidRPr="00AB0877">
              <w:rPr>
                <w:rFonts w:hint="eastAsia"/>
              </w:rPr>
              <w:t>ＧＰＡの活用状況</w:t>
            </w:r>
          </w:p>
        </w:tc>
        <w:tc>
          <w:tcPr>
            <w:tcW w:w="5885" w:type="dxa"/>
            <w:tcBorders>
              <w:left w:val="single" w:sz="4" w:space="0" w:color="auto"/>
            </w:tcBorders>
            <w:shd w:val="clear" w:color="auto" w:fill="auto"/>
            <w:vAlign w:val="center"/>
          </w:tcPr>
          <w:p w14:paraId="2EBE3DA0" w14:textId="77777777" w:rsidR="00797A7F" w:rsidRPr="00AB0877" w:rsidRDefault="00797A7F" w:rsidP="00797A7F">
            <w:pPr>
              <w:ind w:left="210" w:hanging="210"/>
            </w:pPr>
            <w:r w:rsidRPr="00AB0877">
              <w:rPr>
                <w:rFonts w:hint="eastAsia"/>
              </w:rPr>
              <w:t>・学位プログラム毎に、所属する学生それぞれのＧＰＡの平均値等を明らかにすることで、学生が各授業科目に定められた到達目標に全体的にどの程度到達しているかという学位プログラムの全体的な教育の達成状況を明らかにする</w:t>
            </w:r>
          </w:p>
          <w:p w14:paraId="063470D1" w14:textId="534EE882" w:rsidR="00797A7F" w:rsidRPr="00AB0877" w:rsidRDefault="00797A7F" w:rsidP="00797A7F">
            <w:pPr>
              <w:ind w:left="210" w:hanging="210"/>
            </w:pPr>
            <w:r w:rsidRPr="00AB0877">
              <w:rPr>
                <w:rFonts w:hint="eastAsia"/>
              </w:rPr>
              <w:t>・ＧＰＡを、留年や退学の勧告等の基準や、履修指導・学修支援のための基礎情報として用いていることを明らかにすることで、「卒業認定・学位授与の方針」に基づき、質の高い教育を提供していることを明らかにする</w:t>
            </w:r>
          </w:p>
        </w:tc>
        <w:tc>
          <w:tcPr>
            <w:tcW w:w="5887" w:type="dxa"/>
            <w:shd w:val="clear" w:color="auto" w:fill="auto"/>
            <w:vAlign w:val="center"/>
          </w:tcPr>
          <w:p w14:paraId="153AA4B6" w14:textId="131202D7" w:rsidR="00797A7F" w:rsidRPr="00AB0877" w:rsidRDefault="00797A7F" w:rsidP="00797A7F">
            <w:pPr>
              <w:ind w:left="210" w:hanging="210"/>
            </w:pPr>
            <w:r w:rsidRPr="00AB0877">
              <w:rPr>
                <w:rFonts w:hint="eastAsia"/>
              </w:rPr>
              <w:t>・大学全体としてのＧＰＡの算定方法（評語とＧＰとの対応関係や、不可となった科目や履修登録を取り消した科目の扱い、など）</w:t>
            </w:r>
          </w:p>
          <w:p w14:paraId="05CD99A9" w14:textId="77777777" w:rsidR="00797A7F" w:rsidRPr="00AB0877" w:rsidRDefault="00797A7F" w:rsidP="00797A7F">
            <w:pPr>
              <w:ind w:left="210" w:hanging="210"/>
            </w:pPr>
            <w:r w:rsidRPr="00AB0877">
              <w:rPr>
                <w:rFonts w:hint="eastAsia"/>
              </w:rPr>
              <w:t>・学位プログラム毎のＧＰＡの平均値及び分布（入学年度や学期などの観点から分類した数値も併せて公表することが望ましい）</w:t>
            </w:r>
          </w:p>
          <w:p w14:paraId="3B8C9D12" w14:textId="77777777" w:rsidR="00797A7F" w:rsidRPr="00AB0877" w:rsidRDefault="00797A7F" w:rsidP="00797A7F">
            <w:pPr>
              <w:ind w:left="210" w:hanging="210"/>
            </w:pPr>
            <w:r w:rsidRPr="00AB0877">
              <w:rPr>
                <w:rFonts w:hint="eastAsia"/>
              </w:rPr>
              <w:t>・ＧＰＡの活用状況（以下のような活動等の判断基準としてＧＰＡを用いているか否か）</w:t>
            </w:r>
          </w:p>
          <w:p w14:paraId="1C72899E" w14:textId="77777777" w:rsidR="00797A7F" w:rsidRPr="00AB0877" w:rsidRDefault="00797A7F" w:rsidP="00797A7F">
            <w:pPr>
              <w:ind w:left="420" w:hangingChars="200" w:hanging="420"/>
            </w:pPr>
            <w:r w:rsidRPr="00AB0877">
              <w:rPr>
                <w:rFonts w:hint="eastAsia"/>
              </w:rPr>
              <w:t xml:space="preserve">　・学生に対する個別の学修指導</w:t>
            </w:r>
          </w:p>
          <w:p w14:paraId="71163036" w14:textId="77777777" w:rsidR="00797A7F" w:rsidRPr="00AB0877" w:rsidRDefault="00797A7F" w:rsidP="00797A7F">
            <w:pPr>
              <w:ind w:left="420" w:hangingChars="200" w:hanging="420"/>
            </w:pPr>
            <w:r w:rsidRPr="00AB0877">
              <w:rPr>
                <w:rFonts w:hint="eastAsia"/>
              </w:rPr>
              <w:t xml:space="preserve">　・奨学金や授業料免除対象者の選定</w:t>
            </w:r>
          </w:p>
          <w:p w14:paraId="7B448232" w14:textId="77777777" w:rsidR="00797A7F" w:rsidRPr="00AB0877" w:rsidRDefault="00797A7F" w:rsidP="00797A7F">
            <w:pPr>
              <w:ind w:left="420" w:hangingChars="200" w:hanging="420"/>
            </w:pPr>
            <w:r w:rsidRPr="00AB0877">
              <w:rPr>
                <w:rFonts w:hint="eastAsia"/>
              </w:rPr>
              <w:t xml:space="preserve">　・履修上限単位制限の解除</w:t>
            </w:r>
          </w:p>
          <w:p w14:paraId="0E43BEAA" w14:textId="77777777" w:rsidR="00797A7F" w:rsidRPr="00AB0877" w:rsidRDefault="00797A7F" w:rsidP="00797A7F">
            <w:pPr>
              <w:ind w:left="420" w:hangingChars="200" w:hanging="420"/>
            </w:pPr>
            <w:r w:rsidRPr="00AB0877">
              <w:rPr>
                <w:rFonts w:hint="eastAsia"/>
              </w:rPr>
              <w:t xml:space="preserve">　・進級・卒業判定、退学勧告</w:t>
            </w:r>
          </w:p>
          <w:p w14:paraId="57F63508" w14:textId="77777777" w:rsidR="00797A7F" w:rsidRPr="00AB0877" w:rsidRDefault="00797A7F" w:rsidP="00797A7F">
            <w:pPr>
              <w:ind w:left="200" w:firstLineChars="0" w:hanging="200"/>
            </w:pPr>
            <w:r w:rsidRPr="00AB0877">
              <w:rPr>
                <w:rFonts w:hint="eastAsia"/>
              </w:rPr>
              <w:t xml:space="preserve">　・大学院入試の選抜</w:t>
            </w:r>
          </w:p>
          <w:p w14:paraId="1B5D535E" w14:textId="77777777" w:rsidR="00797A7F" w:rsidRPr="00AB0877" w:rsidRDefault="00797A7F" w:rsidP="00797A7F">
            <w:pPr>
              <w:ind w:left="200" w:firstLineChars="0" w:hanging="200"/>
            </w:pPr>
            <w:r w:rsidRPr="00AB0877">
              <w:rPr>
                <w:rFonts w:hint="eastAsia"/>
              </w:rPr>
              <w:t xml:space="preserve">　・早期卒業や大学院への早期入学</w:t>
            </w:r>
          </w:p>
          <w:p w14:paraId="6654005B" w14:textId="3503BAA3" w:rsidR="00797A7F" w:rsidRPr="00AB0877" w:rsidRDefault="00797A7F" w:rsidP="00797A7F">
            <w:pPr>
              <w:ind w:left="200" w:firstLineChars="0" w:hanging="200"/>
            </w:pPr>
            <w:r w:rsidRPr="00AB0877">
              <w:rPr>
                <w:rFonts w:hint="eastAsia"/>
              </w:rPr>
              <w:t>（</w:t>
            </w:r>
            <w:r w:rsidR="00994941" w:rsidRPr="00AB0877">
              <w:rPr>
                <w:rFonts w:hint="eastAsia"/>
              </w:rPr>
              <w:t>各授業科目における到達目標の達成状況</w:t>
            </w:r>
            <w:r w:rsidRPr="00AB0877">
              <w:rPr>
                <w:rFonts w:hint="eastAsia"/>
              </w:rPr>
              <w:t>と併せて分析を行い、公表することが有益）</w:t>
            </w:r>
          </w:p>
          <w:p w14:paraId="4A2CEB10" w14:textId="77777777" w:rsidR="00797A7F" w:rsidRPr="00AB0877" w:rsidRDefault="00797A7F" w:rsidP="00797A7F">
            <w:pPr>
              <w:pStyle w:val="af9"/>
            </w:pPr>
            <w:r w:rsidRPr="00AB0877">
              <w:rPr>
                <w:rFonts w:hint="eastAsia"/>
                <w:shd w:val="pct15" w:color="auto" w:fill="FFFFFF"/>
              </w:rPr>
              <w:t>関連する法令等：</w:t>
            </w:r>
            <w:r w:rsidRPr="00AB0877">
              <w:rPr>
                <w:rFonts w:hint="eastAsia"/>
              </w:rPr>
              <w:t>規則第１７２条の２第１項第６号</w:t>
            </w:r>
          </w:p>
          <w:p w14:paraId="24D8B5B4" w14:textId="027E8124" w:rsidR="00797A7F" w:rsidRPr="00AB0877" w:rsidRDefault="00797A7F" w:rsidP="00797A7F">
            <w:pPr>
              <w:pStyle w:val="af9"/>
              <w:rPr>
                <w:rFonts w:eastAsia="SimSun"/>
              </w:rPr>
            </w:pPr>
            <w:r w:rsidRPr="00AB0877">
              <w:rPr>
                <w:rFonts w:hint="eastAsia"/>
                <w:shd w:val="pct15" w:color="auto" w:fill="FFFFFF"/>
              </w:rPr>
              <w:t>関連する調査等：</w:t>
            </w:r>
            <w:r w:rsidRPr="00AB0877">
              <w:rPr>
                <w:rFonts w:hint="eastAsia"/>
              </w:rPr>
              <w:t>「大学における教育内容等の改革状況について」</w:t>
            </w:r>
          </w:p>
        </w:tc>
        <w:tc>
          <w:tcPr>
            <w:tcW w:w="5886" w:type="dxa"/>
            <w:shd w:val="clear" w:color="auto" w:fill="auto"/>
            <w:vAlign w:val="center"/>
          </w:tcPr>
          <w:p w14:paraId="7247B94E" w14:textId="77777777" w:rsidR="00797A7F" w:rsidRPr="00AB0877" w:rsidRDefault="00797A7F" w:rsidP="00797A7F">
            <w:pPr>
              <w:ind w:left="210" w:hanging="210"/>
            </w:pPr>
            <w:r w:rsidRPr="00AB0877">
              <w:rPr>
                <w:rFonts w:hint="eastAsia"/>
              </w:rPr>
              <w:t>・ＧＰＡの算定方法に関する学内規定の確認</w:t>
            </w:r>
          </w:p>
          <w:p w14:paraId="28BF8193" w14:textId="449CCCD0" w:rsidR="00797A7F" w:rsidRPr="00AB0877" w:rsidRDefault="00797A7F" w:rsidP="00797A7F">
            <w:pPr>
              <w:ind w:left="210" w:hanging="210"/>
            </w:pPr>
            <w:r w:rsidRPr="00AB0877">
              <w:rPr>
                <w:rFonts w:hint="eastAsia"/>
              </w:rPr>
              <w:t>・教務履歴などより収集</w:t>
            </w:r>
          </w:p>
        </w:tc>
      </w:tr>
      <w:tr w:rsidR="00AB0877" w:rsidRPr="00AB0877" w14:paraId="5EA65964" w14:textId="77777777" w:rsidTr="00571938">
        <w:trPr>
          <w:trHeight w:val="567"/>
        </w:trPr>
        <w:tc>
          <w:tcPr>
            <w:tcW w:w="680" w:type="dxa"/>
            <w:vMerge/>
            <w:tcBorders>
              <w:left w:val="single" w:sz="4" w:space="0" w:color="auto"/>
              <w:right w:val="single" w:sz="4" w:space="0" w:color="auto"/>
            </w:tcBorders>
            <w:shd w:val="clear" w:color="auto" w:fill="FFFFFF" w:themeFill="background1"/>
            <w:vAlign w:val="center"/>
          </w:tcPr>
          <w:p w14:paraId="41377F6C" w14:textId="77777777" w:rsidR="00797A7F" w:rsidRPr="00AB0877" w:rsidRDefault="00797A7F" w:rsidP="00797A7F">
            <w:pPr>
              <w:ind w:left="210" w:hanging="210"/>
            </w:pPr>
          </w:p>
        </w:tc>
        <w:tc>
          <w:tcPr>
            <w:tcW w:w="2948" w:type="dxa"/>
            <w:tcBorders>
              <w:left w:val="single" w:sz="4" w:space="0" w:color="auto"/>
              <w:right w:val="single" w:sz="4" w:space="0" w:color="auto"/>
            </w:tcBorders>
            <w:shd w:val="clear" w:color="auto" w:fill="auto"/>
            <w:vAlign w:val="center"/>
          </w:tcPr>
          <w:p w14:paraId="09203644" w14:textId="4E6A1B8E" w:rsidR="00797A7F" w:rsidRPr="00AB0877" w:rsidRDefault="00797A7F" w:rsidP="00797A7F">
            <w:pPr>
              <w:ind w:left="0" w:firstLineChars="0" w:firstLine="0"/>
            </w:pPr>
            <w:r w:rsidRPr="00AB0877">
              <w:rPr>
                <w:rFonts w:hint="eastAsia"/>
              </w:rPr>
              <w:t>カリキュラムマップ、カリキュラムツリー等の活用状況</w:t>
            </w:r>
          </w:p>
        </w:tc>
        <w:tc>
          <w:tcPr>
            <w:tcW w:w="5885" w:type="dxa"/>
            <w:tcBorders>
              <w:left w:val="single" w:sz="4" w:space="0" w:color="auto"/>
            </w:tcBorders>
            <w:shd w:val="clear" w:color="auto" w:fill="auto"/>
            <w:vAlign w:val="center"/>
          </w:tcPr>
          <w:p w14:paraId="57B0082D" w14:textId="77777777" w:rsidR="00797A7F" w:rsidRPr="00AB0877" w:rsidRDefault="00797A7F" w:rsidP="00797A7F">
            <w:pPr>
              <w:ind w:left="210" w:hanging="210"/>
            </w:pPr>
            <w:r w:rsidRPr="00AB0877">
              <w:rPr>
                <w:rFonts w:hint="eastAsia"/>
              </w:rPr>
              <w:t>・「卒業認定・学位授与の方針」を踏まえたカリキュラムマップ、カリキュラムツリーを明らかにすることで、各学位プログラムが、「卒業認定・学位授与の方針」を踏まえて必要な授業科目を開設し、体系的に教育課程を編成していることを明らかにする</w:t>
            </w:r>
          </w:p>
          <w:p w14:paraId="33CE94FD" w14:textId="77777777" w:rsidR="00797A7F" w:rsidRPr="00AB0877" w:rsidRDefault="00797A7F" w:rsidP="00797A7F">
            <w:pPr>
              <w:ind w:left="210" w:hanging="210"/>
            </w:pPr>
          </w:p>
        </w:tc>
        <w:tc>
          <w:tcPr>
            <w:tcW w:w="5887" w:type="dxa"/>
            <w:shd w:val="clear" w:color="auto" w:fill="auto"/>
            <w:vAlign w:val="center"/>
          </w:tcPr>
          <w:p w14:paraId="17368E47" w14:textId="77777777" w:rsidR="00797A7F" w:rsidRPr="00AB0877" w:rsidRDefault="00797A7F" w:rsidP="00797A7F">
            <w:pPr>
              <w:ind w:left="210" w:hanging="210"/>
            </w:pPr>
            <w:r w:rsidRPr="00AB0877">
              <w:rPr>
                <w:rFonts w:hint="eastAsia"/>
              </w:rPr>
              <w:t>・学位プログラム毎のカリキュラムマップ・カリキュラムツリー（※）</w:t>
            </w:r>
          </w:p>
          <w:p w14:paraId="22FCEACC" w14:textId="77777777" w:rsidR="00797A7F" w:rsidRPr="00AB0877" w:rsidRDefault="00797A7F" w:rsidP="00797A7F">
            <w:pPr>
              <w:ind w:left="210" w:hanging="210"/>
            </w:pPr>
            <w:r w:rsidRPr="00AB0877">
              <w:rPr>
                <w:rFonts w:hint="eastAsia"/>
              </w:rPr>
              <w:t>（※）カリキュラムマップやカリキュラムツリー以外の方法で、学位プログラムのカリキュラムにおいて、「卒業認定・学位授与の方針」との関係で過不足なく科目が配置されていることを検証している場合は、当該方法。</w:t>
            </w:r>
          </w:p>
          <w:p w14:paraId="5BC86601" w14:textId="2565CB24" w:rsidR="00797A7F" w:rsidRPr="00AB0877" w:rsidRDefault="00797A7F" w:rsidP="00797A7F">
            <w:pPr>
              <w:ind w:left="210" w:hanging="210"/>
            </w:pPr>
            <w:r w:rsidRPr="00AB0877">
              <w:rPr>
                <w:rFonts w:hint="eastAsia"/>
              </w:rPr>
              <w:t>（授業の方法や内容・授業計画（シラバスの内容）</w:t>
            </w:r>
            <w:r w:rsidR="00994941">
              <w:rPr>
                <w:rFonts w:hint="eastAsia"/>
              </w:rPr>
              <w:t>や</w:t>
            </w:r>
            <w:r w:rsidR="00994941" w:rsidRPr="00AB0877">
              <w:rPr>
                <w:rFonts w:hint="eastAsia"/>
              </w:rPr>
              <w:t>ナンバリングの実施状況</w:t>
            </w:r>
            <w:r w:rsidRPr="00AB0877">
              <w:rPr>
                <w:rFonts w:hint="eastAsia"/>
              </w:rPr>
              <w:t>との関係も併せて公表することが有益）</w:t>
            </w:r>
          </w:p>
          <w:p w14:paraId="17366FED" w14:textId="31FE22A9" w:rsidR="00797A7F" w:rsidRPr="00AB0877" w:rsidRDefault="00797A7F" w:rsidP="00797A7F">
            <w:pPr>
              <w:pStyle w:val="af9"/>
            </w:pPr>
            <w:r w:rsidRPr="00AB0877">
              <w:rPr>
                <w:rFonts w:hint="eastAsia"/>
                <w:shd w:val="pct15" w:color="auto" w:fill="FFFFFF"/>
              </w:rPr>
              <w:t>関連する調査等：</w:t>
            </w:r>
            <w:r w:rsidRPr="00AB0877">
              <w:rPr>
                <w:rFonts w:hint="eastAsia"/>
              </w:rPr>
              <w:t>「大学における教育内容等の改革状況について」</w:t>
            </w:r>
          </w:p>
        </w:tc>
        <w:tc>
          <w:tcPr>
            <w:tcW w:w="5886" w:type="dxa"/>
            <w:shd w:val="clear" w:color="auto" w:fill="auto"/>
            <w:vAlign w:val="center"/>
          </w:tcPr>
          <w:p w14:paraId="1E708B8D" w14:textId="7D846F41" w:rsidR="00797A7F" w:rsidRPr="00AB0877" w:rsidRDefault="00797A7F" w:rsidP="00797A7F">
            <w:pPr>
              <w:ind w:left="210" w:hanging="210"/>
            </w:pPr>
            <w:r w:rsidRPr="00AB0877">
              <w:rPr>
                <w:rFonts w:hint="eastAsia"/>
              </w:rPr>
              <w:t>・カリキュラムマップ・カリキュラムツリー等の収集</w:t>
            </w:r>
          </w:p>
        </w:tc>
      </w:tr>
      <w:tr w:rsidR="00AB0877" w:rsidRPr="00AB0877" w14:paraId="383D9056" w14:textId="77777777" w:rsidTr="00571938">
        <w:trPr>
          <w:trHeight w:val="567"/>
        </w:trPr>
        <w:tc>
          <w:tcPr>
            <w:tcW w:w="680" w:type="dxa"/>
            <w:vMerge/>
            <w:tcBorders>
              <w:left w:val="single" w:sz="4" w:space="0" w:color="auto"/>
              <w:right w:val="single" w:sz="4" w:space="0" w:color="auto"/>
            </w:tcBorders>
          </w:tcPr>
          <w:p w14:paraId="2EC041DF" w14:textId="77777777" w:rsidR="00797A7F" w:rsidRPr="00AB0877" w:rsidRDefault="00797A7F" w:rsidP="00797A7F">
            <w:pPr>
              <w:ind w:left="210" w:hanging="210"/>
            </w:pPr>
          </w:p>
        </w:tc>
        <w:tc>
          <w:tcPr>
            <w:tcW w:w="2948" w:type="dxa"/>
            <w:tcBorders>
              <w:left w:val="single" w:sz="4" w:space="0" w:color="auto"/>
            </w:tcBorders>
            <w:shd w:val="clear" w:color="auto" w:fill="auto"/>
            <w:vAlign w:val="center"/>
          </w:tcPr>
          <w:p w14:paraId="20ABDB1C" w14:textId="5CAD03DA" w:rsidR="00797A7F" w:rsidRPr="00AB0877" w:rsidRDefault="00797A7F" w:rsidP="00797A7F">
            <w:pPr>
              <w:ind w:left="0" w:firstLineChars="0" w:firstLine="0"/>
            </w:pPr>
            <w:r w:rsidRPr="00AB0877">
              <w:rPr>
                <w:rFonts w:hint="eastAsia"/>
              </w:rPr>
              <w:t>ナンバリングの実施状況</w:t>
            </w:r>
          </w:p>
        </w:tc>
        <w:tc>
          <w:tcPr>
            <w:tcW w:w="5885" w:type="dxa"/>
            <w:shd w:val="clear" w:color="auto" w:fill="auto"/>
            <w:vAlign w:val="center"/>
          </w:tcPr>
          <w:p w14:paraId="7C018581" w14:textId="7479AA1E" w:rsidR="00797A7F" w:rsidRPr="00AB0877" w:rsidRDefault="00797A7F" w:rsidP="00797A7F">
            <w:pPr>
              <w:ind w:left="210" w:hanging="210"/>
            </w:pPr>
            <w:r w:rsidRPr="00AB0877">
              <w:rPr>
                <w:rFonts w:hint="eastAsia"/>
              </w:rPr>
              <w:t>・大学が、ナンバリングの実施を通じて、学位プログラムを構成する個々の授業科目の教育課程上の水準や学位プログラム全体の体系性が整理された適切なカリキュラムを編成するための取組を行わっていることを明らかにする</w:t>
            </w:r>
          </w:p>
        </w:tc>
        <w:tc>
          <w:tcPr>
            <w:tcW w:w="5887" w:type="dxa"/>
            <w:shd w:val="clear" w:color="auto" w:fill="auto"/>
            <w:vAlign w:val="center"/>
          </w:tcPr>
          <w:p w14:paraId="406979AA" w14:textId="77777777" w:rsidR="00797A7F" w:rsidRPr="00AB0877" w:rsidRDefault="00797A7F" w:rsidP="00797A7F">
            <w:pPr>
              <w:ind w:left="210" w:hanging="210"/>
            </w:pPr>
            <w:r w:rsidRPr="00AB0877">
              <w:rPr>
                <w:rFonts w:hint="eastAsia"/>
              </w:rPr>
              <w:t>・大学としてのナンバリングに関する方針（どのような分類基準に基づいてナンバリングを実施しているかを説明するもの）</w:t>
            </w:r>
          </w:p>
          <w:p w14:paraId="296D5496" w14:textId="77777777" w:rsidR="00797A7F" w:rsidRPr="00AB0877" w:rsidRDefault="00797A7F" w:rsidP="00797A7F">
            <w:pPr>
              <w:ind w:left="210" w:hanging="210"/>
            </w:pPr>
            <w:r w:rsidRPr="00AB0877">
              <w:rPr>
                <w:rFonts w:hint="eastAsia"/>
              </w:rPr>
              <w:t>・学位プログラム毎のナンバリングを行った授業科目一覧</w:t>
            </w:r>
          </w:p>
          <w:p w14:paraId="6252D28F" w14:textId="77777777" w:rsidR="00797A7F" w:rsidRPr="00AB0877" w:rsidRDefault="00797A7F" w:rsidP="00797A7F">
            <w:pPr>
              <w:ind w:left="210" w:hanging="210"/>
            </w:pPr>
            <w:r w:rsidRPr="00AB0877">
              <w:rPr>
                <w:rFonts w:hint="eastAsia"/>
              </w:rPr>
              <w:t>（授業の方法や内容・授業計画（シラバスの内容）やカリキュラムマップ、カリキュラムツリー等の活用状況との関係も併せて公表することが有益）</w:t>
            </w:r>
          </w:p>
          <w:p w14:paraId="616B98E0" w14:textId="4D2EE8A3" w:rsidR="00797A7F" w:rsidRPr="00AB0877" w:rsidRDefault="00797A7F" w:rsidP="00994941">
            <w:pPr>
              <w:ind w:leftChars="100" w:left="1890" w:hangingChars="800" w:hanging="1680"/>
            </w:pPr>
            <w:r w:rsidRPr="00AB0877">
              <w:rPr>
                <w:rFonts w:hint="eastAsia"/>
                <w:shd w:val="pct15" w:color="auto" w:fill="FFFFFF"/>
              </w:rPr>
              <w:t>関連する調査等：</w:t>
            </w:r>
            <w:r w:rsidRPr="00AB0877">
              <w:rPr>
                <w:rFonts w:hint="eastAsia"/>
              </w:rPr>
              <w:t>「大学における教育内容等の改革状況について」</w:t>
            </w:r>
          </w:p>
        </w:tc>
        <w:tc>
          <w:tcPr>
            <w:tcW w:w="5886" w:type="dxa"/>
            <w:shd w:val="clear" w:color="auto" w:fill="auto"/>
            <w:vAlign w:val="center"/>
          </w:tcPr>
          <w:p w14:paraId="46E8BDA6" w14:textId="77777777" w:rsidR="00797A7F" w:rsidRPr="00AB0877" w:rsidRDefault="00797A7F" w:rsidP="00797A7F">
            <w:pPr>
              <w:ind w:left="210" w:hanging="210"/>
            </w:pPr>
            <w:r w:rsidRPr="00AB0877">
              <w:rPr>
                <w:rFonts w:hint="eastAsia"/>
              </w:rPr>
              <w:t>・大学としてのナンバリングに関する方針の確認</w:t>
            </w:r>
          </w:p>
          <w:p w14:paraId="77D4C2AE" w14:textId="69C057AD" w:rsidR="00797A7F" w:rsidRPr="00AB0877" w:rsidRDefault="00797A7F" w:rsidP="00797A7F">
            <w:pPr>
              <w:ind w:left="210" w:hanging="210"/>
            </w:pPr>
            <w:r w:rsidRPr="00AB0877">
              <w:rPr>
                <w:rFonts w:hint="eastAsia"/>
              </w:rPr>
              <w:t>・ナンバリング済みの授業科目一覧の収集</w:t>
            </w:r>
          </w:p>
        </w:tc>
      </w:tr>
      <w:tr w:rsidR="00AB0877" w:rsidRPr="00AB0877" w14:paraId="6DC3C36E" w14:textId="77777777" w:rsidTr="00571938">
        <w:trPr>
          <w:trHeight w:val="567"/>
        </w:trPr>
        <w:tc>
          <w:tcPr>
            <w:tcW w:w="680" w:type="dxa"/>
            <w:vMerge/>
            <w:tcBorders>
              <w:left w:val="single" w:sz="4" w:space="0" w:color="auto"/>
              <w:right w:val="single" w:sz="4" w:space="0" w:color="auto"/>
            </w:tcBorders>
          </w:tcPr>
          <w:p w14:paraId="2CD7084A" w14:textId="77777777" w:rsidR="00797A7F" w:rsidRPr="00AB0877" w:rsidRDefault="00797A7F" w:rsidP="00797A7F">
            <w:pPr>
              <w:ind w:left="210" w:hanging="210"/>
            </w:pPr>
          </w:p>
        </w:tc>
        <w:tc>
          <w:tcPr>
            <w:tcW w:w="2948" w:type="dxa"/>
            <w:tcBorders>
              <w:left w:val="single" w:sz="4" w:space="0" w:color="auto"/>
            </w:tcBorders>
            <w:shd w:val="clear" w:color="auto" w:fill="auto"/>
            <w:vAlign w:val="center"/>
          </w:tcPr>
          <w:p w14:paraId="5065B894" w14:textId="12F087E7" w:rsidR="00797A7F" w:rsidRPr="00AB0877" w:rsidRDefault="00797A7F" w:rsidP="00797A7F">
            <w:pPr>
              <w:ind w:left="0" w:firstLineChars="0" w:firstLine="0"/>
            </w:pPr>
            <w:r w:rsidRPr="00AB0877">
              <w:rPr>
                <w:rFonts w:hint="eastAsia"/>
              </w:rPr>
              <w:t>教員の業績評価の状況</w:t>
            </w:r>
          </w:p>
        </w:tc>
        <w:tc>
          <w:tcPr>
            <w:tcW w:w="5885" w:type="dxa"/>
            <w:shd w:val="clear" w:color="auto" w:fill="auto"/>
            <w:vAlign w:val="center"/>
          </w:tcPr>
          <w:p w14:paraId="6966DA5C" w14:textId="309A6CA8" w:rsidR="00797A7F" w:rsidRPr="00AB0877" w:rsidRDefault="00797A7F" w:rsidP="00797A7F">
            <w:pPr>
              <w:ind w:left="210" w:hanging="210"/>
            </w:pPr>
            <w:r w:rsidRPr="00AB0877">
              <w:rPr>
                <w:rFonts w:hint="eastAsia"/>
              </w:rPr>
              <w:t>・大学が、研究活動のみならず教育活動における業績を評価する仕組みを整え、教員が積極的に教育活動や教育改善に取り組む意欲を持つことができる環境を整えていることを明らかにする。</w:t>
            </w:r>
          </w:p>
        </w:tc>
        <w:tc>
          <w:tcPr>
            <w:tcW w:w="5887" w:type="dxa"/>
            <w:shd w:val="clear" w:color="auto" w:fill="auto"/>
            <w:vAlign w:val="center"/>
          </w:tcPr>
          <w:p w14:paraId="2F47244D" w14:textId="77777777" w:rsidR="00797A7F" w:rsidRPr="00AB0877" w:rsidRDefault="00797A7F" w:rsidP="00797A7F">
            <w:pPr>
              <w:ind w:left="210" w:hanging="210"/>
            </w:pPr>
            <w:r w:rsidRPr="00AB0877">
              <w:rPr>
                <w:rFonts w:hint="eastAsia"/>
              </w:rPr>
              <w:t>・大学としての教員の業績評価に関する方針など</w:t>
            </w:r>
          </w:p>
          <w:p w14:paraId="29D3D809" w14:textId="57486B73" w:rsidR="00797A7F" w:rsidRPr="00AB0877" w:rsidRDefault="00797A7F" w:rsidP="00797A7F">
            <w:pPr>
              <w:pStyle w:val="af9"/>
            </w:pPr>
            <w:r w:rsidRPr="00AB0877">
              <w:rPr>
                <w:rFonts w:hint="eastAsia"/>
                <w:shd w:val="pct15" w:color="auto" w:fill="FFFFFF"/>
              </w:rPr>
              <w:t>関連する法令等：</w:t>
            </w:r>
            <w:r w:rsidRPr="00AB0877">
              <w:rPr>
                <w:rFonts w:hint="eastAsia"/>
              </w:rPr>
              <w:t>規則第１７２条の２第１項第３号</w:t>
            </w:r>
          </w:p>
        </w:tc>
        <w:tc>
          <w:tcPr>
            <w:tcW w:w="5886" w:type="dxa"/>
            <w:shd w:val="clear" w:color="auto" w:fill="auto"/>
            <w:vAlign w:val="center"/>
          </w:tcPr>
          <w:p w14:paraId="3F13983A" w14:textId="104EED94" w:rsidR="00797A7F" w:rsidRPr="00AB0877" w:rsidRDefault="00797A7F" w:rsidP="00797A7F">
            <w:pPr>
              <w:ind w:left="210" w:hanging="210"/>
            </w:pPr>
            <w:r w:rsidRPr="00AB0877">
              <w:rPr>
                <w:rFonts w:hint="eastAsia"/>
              </w:rPr>
              <w:t>・大学としての教員の業績評価に関する方針の確認</w:t>
            </w:r>
          </w:p>
        </w:tc>
      </w:tr>
      <w:tr w:rsidR="00797A7F" w:rsidRPr="00AB0877" w14:paraId="458D7973" w14:textId="77777777" w:rsidTr="00571938">
        <w:trPr>
          <w:trHeight w:val="567"/>
        </w:trPr>
        <w:tc>
          <w:tcPr>
            <w:tcW w:w="680" w:type="dxa"/>
            <w:vMerge/>
            <w:tcBorders>
              <w:left w:val="single" w:sz="4" w:space="0" w:color="auto"/>
              <w:right w:val="single" w:sz="4" w:space="0" w:color="auto"/>
            </w:tcBorders>
          </w:tcPr>
          <w:p w14:paraId="0A2D556A" w14:textId="77777777" w:rsidR="00797A7F" w:rsidRPr="00AB0877" w:rsidRDefault="00797A7F" w:rsidP="00797A7F">
            <w:pPr>
              <w:ind w:left="210" w:hanging="210"/>
            </w:pPr>
          </w:p>
        </w:tc>
        <w:tc>
          <w:tcPr>
            <w:tcW w:w="2948" w:type="dxa"/>
            <w:tcBorders>
              <w:left w:val="single" w:sz="4" w:space="0" w:color="auto"/>
            </w:tcBorders>
            <w:shd w:val="clear" w:color="auto" w:fill="auto"/>
            <w:vAlign w:val="center"/>
          </w:tcPr>
          <w:p w14:paraId="08328021" w14:textId="3EFCEF3A" w:rsidR="00797A7F" w:rsidRPr="00AB0877" w:rsidRDefault="00797A7F" w:rsidP="00797A7F">
            <w:pPr>
              <w:ind w:left="0" w:firstLineChars="0" w:firstLine="0"/>
            </w:pPr>
            <w:r w:rsidRPr="00AB0877">
              <w:rPr>
                <w:rFonts w:hint="eastAsia"/>
              </w:rPr>
              <w:t>教学ＩＲの整備状況</w:t>
            </w:r>
          </w:p>
        </w:tc>
        <w:tc>
          <w:tcPr>
            <w:tcW w:w="5885" w:type="dxa"/>
            <w:shd w:val="clear" w:color="auto" w:fill="auto"/>
            <w:vAlign w:val="center"/>
          </w:tcPr>
          <w:p w14:paraId="146A2372" w14:textId="08726136" w:rsidR="00797A7F" w:rsidRPr="00AB0877" w:rsidRDefault="00797A7F" w:rsidP="00797A7F">
            <w:pPr>
              <w:ind w:left="210" w:hanging="210"/>
            </w:pPr>
            <w:r w:rsidRPr="00AB0877">
              <w:rPr>
                <w:rFonts w:hint="eastAsia"/>
              </w:rPr>
              <w:t>・教学マネジメントの基礎となる情報を収集する上で基盤となる教学ＩＲについて適切な制度整備や人材育成を行っていることを明らかにすることで、教学マネジメントを行う体制を整えていることを明らかにする</w:t>
            </w:r>
          </w:p>
        </w:tc>
        <w:tc>
          <w:tcPr>
            <w:tcW w:w="5887" w:type="dxa"/>
            <w:shd w:val="clear" w:color="auto" w:fill="auto"/>
            <w:vAlign w:val="center"/>
          </w:tcPr>
          <w:p w14:paraId="2707FFA1" w14:textId="77777777" w:rsidR="00797A7F" w:rsidRPr="00AB0877" w:rsidRDefault="00797A7F" w:rsidP="00797A7F">
            <w:pPr>
              <w:ind w:left="210" w:hanging="210"/>
            </w:pPr>
            <w:r w:rsidRPr="00AB0877">
              <w:rPr>
                <w:rFonts w:hint="eastAsia"/>
              </w:rPr>
              <w:t>・大学として実施している教学ＩＲの主な内容（分析事例の紹介や、教学ＩＲをきっかけとする教学改善の事例の紹介など）</w:t>
            </w:r>
          </w:p>
          <w:p w14:paraId="78E68100" w14:textId="77777777" w:rsidR="00797A7F" w:rsidRPr="00AB0877" w:rsidRDefault="00797A7F" w:rsidP="00797A7F">
            <w:pPr>
              <w:ind w:left="210" w:hanging="210"/>
            </w:pPr>
            <w:r w:rsidRPr="00AB0877">
              <w:rPr>
                <w:rFonts w:hint="eastAsia"/>
              </w:rPr>
              <w:t>・教学ＩＲを担当する組織・部局の概要（スタッフの人数や大学組織上の位置付けなど）</w:t>
            </w:r>
          </w:p>
          <w:p w14:paraId="3DEFE213" w14:textId="77777777" w:rsidR="00797A7F" w:rsidRPr="00AB0877" w:rsidRDefault="00797A7F" w:rsidP="00797A7F">
            <w:pPr>
              <w:ind w:left="210" w:hanging="210"/>
            </w:pPr>
            <w:r w:rsidRPr="00AB0877">
              <w:rPr>
                <w:rFonts w:hint="eastAsia"/>
              </w:rPr>
              <w:t>・教学ＩＲに関する学内規則</w:t>
            </w:r>
          </w:p>
          <w:p w14:paraId="46DE7B65" w14:textId="36C0BD28" w:rsidR="00797A7F" w:rsidRPr="00AB0877" w:rsidRDefault="00797A7F" w:rsidP="00797A7F">
            <w:pPr>
              <w:pStyle w:val="af9"/>
            </w:pPr>
            <w:r w:rsidRPr="00AB0877">
              <w:rPr>
                <w:rFonts w:hint="eastAsia"/>
                <w:shd w:val="pct15" w:color="auto" w:fill="FFFFFF"/>
              </w:rPr>
              <w:t>関連する調査等：</w:t>
            </w:r>
            <w:r w:rsidRPr="00AB0877">
              <w:rPr>
                <w:rFonts w:hint="eastAsia"/>
              </w:rPr>
              <w:t>「大学における教育内容等の改革状況について」</w:t>
            </w:r>
          </w:p>
        </w:tc>
        <w:tc>
          <w:tcPr>
            <w:tcW w:w="5886" w:type="dxa"/>
            <w:shd w:val="clear" w:color="auto" w:fill="auto"/>
            <w:vAlign w:val="center"/>
          </w:tcPr>
          <w:p w14:paraId="6030A742" w14:textId="1B258199" w:rsidR="00797A7F" w:rsidRPr="00AB0877" w:rsidRDefault="00797A7F" w:rsidP="00797A7F">
            <w:pPr>
              <w:ind w:left="210" w:hanging="210"/>
            </w:pPr>
            <w:r w:rsidRPr="00AB0877">
              <w:rPr>
                <w:rFonts w:hint="eastAsia"/>
              </w:rPr>
              <w:t>・教学ＩＲの主な内容の収集</w:t>
            </w:r>
          </w:p>
        </w:tc>
      </w:tr>
    </w:tbl>
    <w:p w14:paraId="3C1FF5CF" w14:textId="4C1E9DDA" w:rsidR="00C40810" w:rsidRPr="00AB0877" w:rsidRDefault="00C40810" w:rsidP="006C7998">
      <w:pPr>
        <w:spacing w:line="20" w:lineRule="exact"/>
        <w:ind w:left="9" w:hangingChars="47" w:hanging="9"/>
        <w:rPr>
          <w:sz w:val="2"/>
          <w:szCs w:val="2"/>
        </w:rPr>
      </w:pPr>
    </w:p>
    <w:sectPr w:rsidR="00C40810" w:rsidRPr="00AB0877" w:rsidSect="00D1190B">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134" w:right="1134" w:bottom="1134" w:left="1134" w:header="567" w:footer="567" w:gutter="0"/>
      <w:pgNumType w:fmt="decimalFullWidth" w:start="52"/>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4523" w14:textId="77777777" w:rsidR="00177238" w:rsidRDefault="00177238" w:rsidP="00E7189E">
      <w:pPr>
        <w:ind w:left="210" w:hanging="210"/>
      </w:pPr>
      <w:r>
        <w:separator/>
      </w:r>
    </w:p>
  </w:endnote>
  <w:endnote w:type="continuationSeparator" w:id="0">
    <w:p w14:paraId="6C6D8B30" w14:textId="77777777" w:rsidR="00177238" w:rsidRDefault="00177238" w:rsidP="00E7189E">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C7A1" w14:textId="77777777" w:rsidR="004052C0" w:rsidRDefault="004052C0">
    <w:pPr>
      <w:pStyle w:val="a6"/>
      <w:ind w:left="210" w:hanging="210"/>
    </w:pPr>
  </w:p>
  <w:p w14:paraId="2AA6FC12" w14:textId="77777777" w:rsidR="00157424" w:rsidRDefault="00157424">
    <w:pPr>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40739"/>
      <w:docPartObj>
        <w:docPartGallery w:val="Page Numbers (Bottom of Page)"/>
        <w:docPartUnique/>
      </w:docPartObj>
    </w:sdtPr>
    <w:sdtEndPr>
      <w:rPr>
        <w:rFonts w:ascii="ＭＳ 明朝" w:eastAsia="ＭＳ 明朝" w:hAnsi="ＭＳ 明朝"/>
        <w:sz w:val="24"/>
      </w:rPr>
    </w:sdtEndPr>
    <w:sdtContent>
      <w:p w14:paraId="4FCC4E99" w14:textId="514DC5FF" w:rsidR="004052C0" w:rsidRPr="00D1190B" w:rsidRDefault="004052C0">
        <w:pPr>
          <w:pStyle w:val="a6"/>
          <w:ind w:left="210" w:hanging="210"/>
          <w:jc w:val="center"/>
          <w:rPr>
            <w:rFonts w:ascii="ＭＳ 明朝" w:eastAsia="ＭＳ 明朝" w:hAnsi="ＭＳ 明朝"/>
            <w:sz w:val="24"/>
          </w:rPr>
        </w:pPr>
        <w:r w:rsidRPr="00D1190B">
          <w:rPr>
            <w:rFonts w:ascii="ＭＳ 明朝" w:eastAsia="ＭＳ 明朝" w:hAnsi="ＭＳ 明朝"/>
            <w:sz w:val="24"/>
          </w:rPr>
          <w:fldChar w:fldCharType="begin"/>
        </w:r>
        <w:r w:rsidRPr="00D1190B">
          <w:rPr>
            <w:rFonts w:ascii="ＭＳ 明朝" w:eastAsia="ＭＳ 明朝" w:hAnsi="ＭＳ 明朝"/>
            <w:sz w:val="24"/>
          </w:rPr>
          <w:instrText>PAGE   \* MERGEFORMAT</w:instrText>
        </w:r>
        <w:r w:rsidRPr="00D1190B">
          <w:rPr>
            <w:rFonts w:ascii="ＭＳ 明朝" w:eastAsia="ＭＳ 明朝" w:hAnsi="ＭＳ 明朝"/>
            <w:sz w:val="24"/>
          </w:rPr>
          <w:fldChar w:fldCharType="separate"/>
        </w:r>
        <w:r w:rsidR="003E453E" w:rsidRPr="003E453E">
          <w:rPr>
            <w:rFonts w:ascii="ＭＳ 明朝" w:eastAsia="ＭＳ 明朝" w:hAnsi="ＭＳ 明朝"/>
            <w:noProof/>
            <w:sz w:val="24"/>
            <w:lang w:val="ja-JP"/>
          </w:rPr>
          <w:t>５２</w:t>
        </w:r>
        <w:r w:rsidRPr="00D1190B">
          <w:rPr>
            <w:rFonts w:ascii="ＭＳ 明朝" w:eastAsia="ＭＳ 明朝" w:hAnsi="ＭＳ 明朝"/>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C35B" w14:textId="77777777" w:rsidR="004052C0" w:rsidRDefault="004052C0">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905E0" w14:textId="77777777" w:rsidR="00177238" w:rsidRDefault="00177238" w:rsidP="00E7189E">
      <w:pPr>
        <w:ind w:left="210" w:hanging="210"/>
      </w:pPr>
      <w:r>
        <w:separator/>
      </w:r>
    </w:p>
  </w:footnote>
  <w:footnote w:type="continuationSeparator" w:id="0">
    <w:p w14:paraId="707CC1AC" w14:textId="77777777" w:rsidR="00177238" w:rsidRDefault="00177238" w:rsidP="00E7189E">
      <w:pPr>
        <w:ind w:left="210" w:hanging="210"/>
      </w:pPr>
      <w:r>
        <w:continuationSeparator/>
      </w:r>
    </w:p>
  </w:footnote>
  <w:footnote w:id="1">
    <w:p w14:paraId="361F6CFB" w14:textId="75151EAF" w:rsidR="0050520B" w:rsidRDefault="0050520B">
      <w:pPr>
        <w:pStyle w:val="af3"/>
        <w:ind w:left="210" w:hanging="210"/>
      </w:pPr>
      <w:r>
        <w:rPr>
          <w:rStyle w:val="af5"/>
        </w:rPr>
        <w:footnoteRef/>
      </w:r>
      <w:r>
        <w:rPr>
          <w:rFonts w:hint="eastAsia"/>
        </w:rPr>
        <w:t xml:space="preserve"> 「平</w:t>
      </w:r>
      <w:r w:rsidR="00783AF5">
        <w:rPr>
          <w:rFonts w:hint="eastAsia"/>
        </w:rPr>
        <w:t>成３０年度大学等卒業者の就職状況調査（４月１日</w:t>
      </w:r>
      <w:r>
        <w:rPr>
          <w:rFonts w:hint="eastAsia"/>
        </w:rPr>
        <w:t>現在）」</w:t>
      </w:r>
      <w:r w:rsidR="00D1190B" w:rsidRPr="00D1190B">
        <w:t>https://www.mext.go.jp/b_menu/houdou/31/05/1416816.htm</w:t>
      </w:r>
    </w:p>
  </w:footnote>
  <w:footnote w:id="2">
    <w:p w14:paraId="77FB60F0" w14:textId="6DA204D6" w:rsidR="0050520B" w:rsidRDefault="0050520B">
      <w:pPr>
        <w:pStyle w:val="af3"/>
        <w:ind w:left="210" w:hanging="210"/>
      </w:pPr>
      <w:r>
        <w:rPr>
          <w:rStyle w:val="af5"/>
        </w:rPr>
        <w:footnoteRef/>
      </w:r>
      <w:r>
        <w:rPr>
          <w:rFonts w:hint="eastAsia"/>
        </w:rPr>
        <w:t xml:space="preserve"> </w:t>
      </w:r>
      <w:r w:rsidR="00D1190B" w:rsidRPr="00D1190B">
        <w:t>https://www.mext.go.jp/b_menu/toukei/chousa01/kihon/1267995.htm</w:t>
      </w:r>
    </w:p>
  </w:footnote>
  <w:footnote w:id="3">
    <w:p w14:paraId="7EE76863" w14:textId="1496BE91" w:rsidR="00797A7F" w:rsidRDefault="00797A7F">
      <w:pPr>
        <w:pStyle w:val="af3"/>
        <w:ind w:left="210" w:hanging="210"/>
      </w:pPr>
      <w:r>
        <w:rPr>
          <w:rStyle w:val="af5"/>
        </w:rPr>
        <w:footnoteRef/>
      </w:r>
      <w:r>
        <w:rPr>
          <w:rFonts w:hint="eastAsia"/>
        </w:rPr>
        <w:t xml:space="preserve"> 「令和２年度大学入学者選抜実施要項について（通知）」（http</w:t>
      </w:r>
      <w:r w:rsidR="00565757">
        <w:t>s</w:t>
      </w:r>
      <w:r>
        <w:rPr>
          <w:rFonts w:hint="eastAsia"/>
        </w:rPr>
        <w:t>://www.mext.go.jp/component/a_menu/education/detail/__icsFiles/afieldfile/2019/06/05/1282953_001_1_1.pdf）</w:t>
      </w:r>
    </w:p>
  </w:footnote>
  <w:footnote w:id="4">
    <w:p w14:paraId="510B9339" w14:textId="77777777" w:rsidR="00994941" w:rsidRDefault="00994941" w:rsidP="00994941">
      <w:pPr>
        <w:pStyle w:val="af3"/>
        <w:ind w:left="210" w:hanging="210"/>
      </w:pPr>
      <w:r>
        <w:rPr>
          <w:rStyle w:val="af5"/>
        </w:rPr>
        <w:footnoteRef/>
      </w:r>
      <w:r>
        <w:rPr>
          <w:rFonts w:hint="eastAsia"/>
        </w:rPr>
        <w:t xml:space="preserve"> 「大学における教育内容等の改革状況について（平成２８年度）」http</w:t>
      </w:r>
      <w:r>
        <w:t>s</w:t>
      </w:r>
      <w:r>
        <w:rPr>
          <w:rFonts w:hint="eastAsia"/>
        </w:rPr>
        <w:t>://www.mext.go.jp/a_menu/koutou/daigaku/04052801/1417336.htm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F967" w14:textId="77777777" w:rsidR="004052C0" w:rsidRDefault="004052C0">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2011" w14:textId="61A60FF3" w:rsidR="004052C0" w:rsidRPr="00D47A5B" w:rsidRDefault="004052C0" w:rsidP="00D47A5B">
    <w:pPr>
      <w:pStyle w:val="a4"/>
      <w:ind w:left="210" w:hanging="210"/>
    </w:pPr>
  </w:p>
  <w:p w14:paraId="54895E51" w14:textId="77777777" w:rsidR="00157424" w:rsidRDefault="00157424">
    <w:pPr>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D27F" w14:textId="77777777" w:rsidR="004052C0" w:rsidRDefault="004052C0">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20C30131"/>
    <w:multiLevelType w:val="multilevel"/>
    <w:tmpl w:val="4ECEB52A"/>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4"/>
      <w:numFmt w:val="decimalEnclosedCircle"/>
      <w:pStyle w:val="3"/>
      <w:suff w:val="nothing"/>
      <w:lvlText w:val="%3　"/>
      <w:lvlJc w:val="left"/>
      <w:pPr>
        <w:ind w:left="238" w:hanging="238"/>
      </w:pPr>
      <w:rPr>
        <w:rFonts w:hint="eastAsia"/>
        <w:b/>
        <w:i w:val="0"/>
        <w:u w:val="single"/>
      </w:rPr>
    </w:lvl>
    <w:lvl w:ilvl="3">
      <w:start w:val="1"/>
      <w:numFmt w:val="decimalFullWidth"/>
      <w:pStyle w:val="4"/>
      <w:suff w:val="nothing"/>
      <w:lvlText w:val="（%4）"/>
      <w:lvlJc w:val="left"/>
      <w:pPr>
        <w:ind w:left="238" w:hanging="238"/>
      </w:pPr>
      <w:rPr>
        <w:rFonts w:hint="eastAsia"/>
        <w:u w:val="single"/>
      </w:rPr>
    </w:lvl>
    <w:lvl w:ilvl="4">
      <w:start w:val="1"/>
      <w:numFmt w:val="decimalFullWidth"/>
      <w:pStyle w:val="5"/>
      <w:suff w:val="nothing"/>
      <w:lvlText w:val="（%5）"/>
      <w:lvlJc w:val="left"/>
      <w:pPr>
        <w:ind w:left="482" w:hanging="482"/>
      </w:pPr>
      <w:rPr>
        <w:rFonts w:hint="eastAsia"/>
      </w:rPr>
    </w:lvl>
    <w:lvl w:ilvl="5">
      <w:start w:val="1"/>
      <w:numFmt w:val="aiueoFullWidth"/>
      <w:pStyle w:val="6"/>
      <w:suff w:val="nothing"/>
      <w:lvlText w:val="%6．"/>
      <w:lvlJc w:val="left"/>
      <w:pPr>
        <w:ind w:left="720" w:hanging="238"/>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3"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4"/>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2"/>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abstractNumId w:val="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F8"/>
    <w:rsid w:val="00001184"/>
    <w:rsid w:val="000040B2"/>
    <w:rsid w:val="00006771"/>
    <w:rsid w:val="000070FD"/>
    <w:rsid w:val="000079DE"/>
    <w:rsid w:val="000138F5"/>
    <w:rsid w:val="00015E41"/>
    <w:rsid w:val="00020D8A"/>
    <w:rsid w:val="000254C6"/>
    <w:rsid w:val="000278EB"/>
    <w:rsid w:val="00027B74"/>
    <w:rsid w:val="000304D4"/>
    <w:rsid w:val="00032FC7"/>
    <w:rsid w:val="00034587"/>
    <w:rsid w:val="00036116"/>
    <w:rsid w:val="0003678D"/>
    <w:rsid w:val="00045497"/>
    <w:rsid w:val="00051886"/>
    <w:rsid w:val="000613AD"/>
    <w:rsid w:val="0006148C"/>
    <w:rsid w:val="00067044"/>
    <w:rsid w:val="00075D82"/>
    <w:rsid w:val="000773E6"/>
    <w:rsid w:val="00084505"/>
    <w:rsid w:val="00085C83"/>
    <w:rsid w:val="00090002"/>
    <w:rsid w:val="00092B57"/>
    <w:rsid w:val="00093529"/>
    <w:rsid w:val="0009372E"/>
    <w:rsid w:val="00096814"/>
    <w:rsid w:val="000A6CC8"/>
    <w:rsid w:val="000A7E7A"/>
    <w:rsid w:val="000B1025"/>
    <w:rsid w:val="000B7240"/>
    <w:rsid w:val="000C1810"/>
    <w:rsid w:val="000C33BB"/>
    <w:rsid w:val="000D24EB"/>
    <w:rsid w:val="000E4F60"/>
    <w:rsid w:val="000E551C"/>
    <w:rsid w:val="000F0382"/>
    <w:rsid w:val="000F0BC0"/>
    <w:rsid w:val="000F5153"/>
    <w:rsid w:val="000F6441"/>
    <w:rsid w:val="00110C1B"/>
    <w:rsid w:val="00112806"/>
    <w:rsid w:val="001162A4"/>
    <w:rsid w:val="0012327E"/>
    <w:rsid w:val="001234E2"/>
    <w:rsid w:val="001254D1"/>
    <w:rsid w:val="00137414"/>
    <w:rsid w:val="0013786A"/>
    <w:rsid w:val="00137F28"/>
    <w:rsid w:val="00142B67"/>
    <w:rsid w:val="0014354B"/>
    <w:rsid w:val="00144A8C"/>
    <w:rsid w:val="00145358"/>
    <w:rsid w:val="00156E65"/>
    <w:rsid w:val="00157424"/>
    <w:rsid w:val="00160E16"/>
    <w:rsid w:val="001640D2"/>
    <w:rsid w:val="00174013"/>
    <w:rsid w:val="00174823"/>
    <w:rsid w:val="0017693F"/>
    <w:rsid w:val="00177238"/>
    <w:rsid w:val="00177753"/>
    <w:rsid w:val="00184F51"/>
    <w:rsid w:val="00190126"/>
    <w:rsid w:val="001918CA"/>
    <w:rsid w:val="00191ADD"/>
    <w:rsid w:val="00194583"/>
    <w:rsid w:val="00196FD7"/>
    <w:rsid w:val="001A3F55"/>
    <w:rsid w:val="001B02C8"/>
    <w:rsid w:val="001B0EAF"/>
    <w:rsid w:val="001B2EBA"/>
    <w:rsid w:val="001B634D"/>
    <w:rsid w:val="001B6B10"/>
    <w:rsid w:val="001B7440"/>
    <w:rsid w:val="001C37B5"/>
    <w:rsid w:val="001D1B12"/>
    <w:rsid w:val="001D3291"/>
    <w:rsid w:val="001E6A41"/>
    <w:rsid w:val="001F1EA5"/>
    <w:rsid w:val="001F25CB"/>
    <w:rsid w:val="001F73D7"/>
    <w:rsid w:val="0020064B"/>
    <w:rsid w:val="00202DB7"/>
    <w:rsid w:val="00207B89"/>
    <w:rsid w:val="00212808"/>
    <w:rsid w:val="00212FF5"/>
    <w:rsid w:val="00216E6F"/>
    <w:rsid w:val="00217E4F"/>
    <w:rsid w:val="00224853"/>
    <w:rsid w:val="00224FEA"/>
    <w:rsid w:val="00231D86"/>
    <w:rsid w:val="002359F4"/>
    <w:rsid w:val="002415E9"/>
    <w:rsid w:val="002543CD"/>
    <w:rsid w:val="00255BAA"/>
    <w:rsid w:val="00255D8A"/>
    <w:rsid w:val="002608E3"/>
    <w:rsid w:val="00262F5C"/>
    <w:rsid w:val="00264136"/>
    <w:rsid w:val="00267B0F"/>
    <w:rsid w:val="0027288F"/>
    <w:rsid w:val="00273209"/>
    <w:rsid w:val="002735AC"/>
    <w:rsid w:val="002744FD"/>
    <w:rsid w:val="00274D56"/>
    <w:rsid w:val="00283EB9"/>
    <w:rsid w:val="002901C7"/>
    <w:rsid w:val="002904B0"/>
    <w:rsid w:val="00294E8F"/>
    <w:rsid w:val="002956D5"/>
    <w:rsid w:val="002A218B"/>
    <w:rsid w:val="002A2AD2"/>
    <w:rsid w:val="002A4E5A"/>
    <w:rsid w:val="002A5833"/>
    <w:rsid w:val="002A58C7"/>
    <w:rsid w:val="002B0945"/>
    <w:rsid w:val="002B116C"/>
    <w:rsid w:val="002B57AB"/>
    <w:rsid w:val="002B5DA2"/>
    <w:rsid w:val="002B71DF"/>
    <w:rsid w:val="002B78C0"/>
    <w:rsid w:val="002C2D58"/>
    <w:rsid w:val="002C2F6C"/>
    <w:rsid w:val="002C39F8"/>
    <w:rsid w:val="002D2E0D"/>
    <w:rsid w:val="002F22C6"/>
    <w:rsid w:val="002F6432"/>
    <w:rsid w:val="0030276B"/>
    <w:rsid w:val="003037DA"/>
    <w:rsid w:val="00303A9F"/>
    <w:rsid w:val="00305857"/>
    <w:rsid w:val="00314E47"/>
    <w:rsid w:val="00316640"/>
    <w:rsid w:val="00317D10"/>
    <w:rsid w:val="00321AF3"/>
    <w:rsid w:val="00322ABC"/>
    <w:rsid w:val="00322EB4"/>
    <w:rsid w:val="00324488"/>
    <w:rsid w:val="0033099B"/>
    <w:rsid w:val="003323B3"/>
    <w:rsid w:val="00333A4C"/>
    <w:rsid w:val="00334E13"/>
    <w:rsid w:val="003374D7"/>
    <w:rsid w:val="00340ACC"/>
    <w:rsid w:val="00344286"/>
    <w:rsid w:val="00344A72"/>
    <w:rsid w:val="00344C2A"/>
    <w:rsid w:val="00350019"/>
    <w:rsid w:val="003525FB"/>
    <w:rsid w:val="00353732"/>
    <w:rsid w:val="003569F9"/>
    <w:rsid w:val="003630AF"/>
    <w:rsid w:val="00367AD0"/>
    <w:rsid w:val="0037298C"/>
    <w:rsid w:val="00376431"/>
    <w:rsid w:val="00377BD4"/>
    <w:rsid w:val="0038534D"/>
    <w:rsid w:val="00387B5F"/>
    <w:rsid w:val="003918FF"/>
    <w:rsid w:val="00396A73"/>
    <w:rsid w:val="00397127"/>
    <w:rsid w:val="003A06D8"/>
    <w:rsid w:val="003A08CB"/>
    <w:rsid w:val="003A112B"/>
    <w:rsid w:val="003B235B"/>
    <w:rsid w:val="003B3CCA"/>
    <w:rsid w:val="003B639F"/>
    <w:rsid w:val="003C1340"/>
    <w:rsid w:val="003C20AB"/>
    <w:rsid w:val="003D0367"/>
    <w:rsid w:val="003D4456"/>
    <w:rsid w:val="003D5280"/>
    <w:rsid w:val="003E453E"/>
    <w:rsid w:val="003E4A2F"/>
    <w:rsid w:val="003E55C5"/>
    <w:rsid w:val="003F0504"/>
    <w:rsid w:val="003F66B8"/>
    <w:rsid w:val="003F7FBC"/>
    <w:rsid w:val="0040103F"/>
    <w:rsid w:val="004052C0"/>
    <w:rsid w:val="004105AE"/>
    <w:rsid w:val="00412FBF"/>
    <w:rsid w:val="00414CEF"/>
    <w:rsid w:val="00422B1C"/>
    <w:rsid w:val="00426A2D"/>
    <w:rsid w:val="004279F2"/>
    <w:rsid w:val="00427B19"/>
    <w:rsid w:val="004356D3"/>
    <w:rsid w:val="00441112"/>
    <w:rsid w:val="004552D1"/>
    <w:rsid w:val="004701B4"/>
    <w:rsid w:val="004725AF"/>
    <w:rsid w:val="004741A1"/>
    <w:rsid w:val="00486522"/>
    <w:rsid w:val="00494DB8"/>
    <w:rsid w:val="00496179"/>
    <w:rsid w:val="004B227E"/>
    <w:rsid w:val="004B4FD7"/>
    <w:rsid w:val="004B744A"/>
    <w:rsid w:val="004C03B9"/>
    <w:rsid w:val="004C4309"/>
    <w:rsid w:val="004C5DF5"/>
    <w:rsid w:val="004C69A0"/>
    <w:rsid w:val="004D137C"/>
    <w:rsid w:val="004E7087"/>
    <w:rsid w:val="004F6224"/>
    <w:rsid w:val="004F6E6A"/>
    <w:rsid w:val="0050520B"/>
    <w:rsid w:val="00505FBF"/>
    <w:rsid w:val="00506347"/>
    <w:rsid w:val="0051684A"/>
    <w:rsid w:val="00524ADD"/>
    <w:rsid w:val="00530FC4"/>
    <w:rsid w:val="005327AE"/>
    <w:rsid w:val="00533451"/>
    <w:rsid w:val="00534EE3"/>
    <w:rsid w:val="00535457"/>
    <w:rsid w:val="00536B5D"/>
    <w:rsid w:val="0053765C"/>
    <w:rsid w:val="0054622C"/>
    <w:rsid w:val="0054718B"/>
    <w:rsid w:val="00551985"/>
    <w:rsid w:val="00552DA0"/>
    <w:rsid w:val="005535C5"/>
    <w:rsid w:val="00553C5F"/>
    <w:rsid w:val="005559FC"/>
    <w:rsid w:val="005561DB"/>
    <w:rsid w:val="00562DD3"/>
    <w:rsid w:val="00563A2C"/>
    <w:rsid w:val="00565757"/>
    <w:rsid w:val="00566A06"/>
    <w:rsid w:val="00566D78"/>
    <w:rsid w:val="00567334"/>
    <w:rsid w:val="00571938"/>
    <w:rsid w:val="0057449C"/>
    <w:rsid w:val="00577545"/>
    <w:rsid w:val="005775E0"/>
    <w:rsid w:val="00582ADD"/>
    <w:rsid w:val="00582AEA"/>
    <w:rsid w:val="005859CE"/>
    <w:rsid w:val="00594AE1"/>
    <w:rsid w:val="005A7837"/>
    <w:rsid w:val="005B5D70"/>
    <w:rsid w:val="005C0068"/>
    <w:rsid w:val="005C035A"/>
    <w:rsid w:val="005C1584"/>
    <w:rsid w:val="005C269D"/>
    <w:rsid w:val="005C4189"/>
    <w:rsid w:val="005C41BE"/>
    <w:rsid w:val="005C75DE"/>
    <w:rsid w:val="005C7C6A"/>
    <w:rsid w:val="005D3584"/>
    <w:rsid w:val="005D6279"/>
    <w:rsid w:val="005E0FE9"/>
    <w:rsid w:val="005E35BA"/>
    <w:rsid w:val="005E634B"/>
    <w:rsid w:val="005E6D2B"/>
    <w:rsid w:val="005F1491"/>
    <w:rsid w:val="005F52CE"/>
    <w:rsid w:val="0060054C"/>
    <w:rsid w:val="0060120A"/>
    <w:rsid w:val="00602E69"/>
    <w:rsid w:val="00603A99"/>
    <w:rsid w:val="00603CDB"/>
    <w:rsid w:val="00604839"/>
    <w:rsid w:val="0061041E"/>
    <w:rsid w:val="0061355C"/>
    <w:rsid w:val="00614AC7"/>
    <w:rsid w:val="006153B8"/>
    <w:rsid w:val="00615424"/>
    <w:rsid w:val="00623527"/>
    <w:rsid w:val="00630C93"/>
    <w:rsid w:val="00631446"/>
    <w:rsid w:val="00631B05"/>
    <w:rsid w:val="0064174F"/>
    <w:rsid w:val="00642DA5"/>
    <w:rsid w:val="00643988"/>
    <w:rsid w:val="0065054B"/>
    <w:rsid w:val="00651744"/>
    <w:rsid w:val="00653074"/>
    <w:rsid w:val="006536C0"/>
    <w:rsid w:val="00660744"/>
    <w:rsid w:val="00670FE0"/>
    <w:rsid w:val="00677A66"/>
    <w:rsid w:val="00682A43"/>
    <w:rsid w:val="006837C8"/>
    <w:rsid w:val="006947A6"/>
    <w:rsid w:val="0069780F"/>
    <w:rsid w:val="006A7963"/>
    <w:rsid w:val="006B03D1"/>
    <w:rsid w:val="006B1C28"/>
    <w:rsid w:val="006B601D"/>
    <w:rsid w:val="006B6A5F"/>
    <w:rsid w:val="006C19F8"/>
    <w:rsid w:val="006C7998"/>
    <w:rsid w:val="006D075F"/>
    <w:rsid w:val="006D0FE3"/>
    <w:rsid w:val="006D14F8"/>
    <w:rsid w:val="006D5987"/>
    <w:rsid w:val="006F1A3C"/>
    <w:rsid w:val="006F250A"/>
    <w:rsid w:val="006F4CFA"/>
    <w:rsid w:val="006F51FA"/>
    <w:rsid w:val="007018C6"/>
    <w:rsid w:val="00702775"/>
    <w:rsid w:val="00704ACE"/>
    <w:rsid w:val="0070591B"/>
    <w:rsid w:val="00711FF1"/>
    <w:rsid w:val="0071376A"/>
    <w:rsid w:val="007247B2"/>
    <w:rsid w:val="00726768"/>
    <w:rsid w:val="0073044A"/>
    <w:rsid w:val="00737567"/>
    <w:rsid w:val="0073769C"/>
    <w:rsid w:val="007428DB"/>
    <w:rsid w:val="007470D7"/>
    <w:rsid w:val="00750E28"/>
    <w:rsid w:val="00752AB9"/>
    <w:rsid w:val="00753C11"/>
    <w:rsid w:val="00760BC7"/>
    <w:rsid w:val="00761325"/>
    <w:rsid w:val="00764A7C"/>
    <w:rsid w:val="00767391"/>
    <w:rsid w:val="0078159A"/>
    <w:rsid w:val="00781BF0"/>
    <w:rsid w:val="00783AF5"/>
    <w:rsid w:val="007871BE"/>
    <w:rsid w:val="00790770"/>
    <w:rsid w:val="00791516"/>
    <w:rsid w:val="00796D34"/>
    <w:rsid w:val="007976EF"/>
    <w:rsid w:val="00797A7F"/>
    <w:rsid w:val="007A03C2"/>
    <w:rsid w:val="007A04CB"/>
    <w:rsid w:val="007A136F"/>
    <w:rsid w:val="007A18C6"/>
    <w:rsid w:val="007B08D1"/>
    <w:rsid w:val="007B744E"/>
    <w:rsid w:val="007C0651"/>
    <w:rsid w:val="007C682F"/>
    <w:rsid w:val="007D39E9"/>
    <w:rsid w:val="007D54C2"/>
    <w:rsid w:val="007E0CC9"/>
    <w:rsid w:val="007E7E2D"/>
    <w:rsid w:val="007F199C"/>
    <w:rsid w:val="007F672D"/>
    <w:rsid w:val="00801A83"/>
    <w:rsid w:val="008041A7"/>
    <w:rsid w:val="008078BE"/>
    <w:rsid w:val="00807F49"/>
    <w:rsid w:val="00810FE4"/>
    <w:rsid w:val="00812CCC"/>
    <w:rsid w:val="00813E30"/>
    <w:rsid w:val="00817AFB"/>
    <w:rsid w:val="00817EED"/>
    <w:rsid w:val="00820AD1"/>
    <w:rsid w:val="008221E4"/>
    <w:rsid w:val="00825E02"/>
    <w:rsid w:val="00831301"/>
    <w:rsid w:val="00841CA9"/>
    <w:rsid w:val="008421D5"/>
    <w:rsid w:val="00865B0D"/>
    <w:rsid w:val="008748BC"/>
    <w:rsid w:val="008850B6"/>
    <w:rsid w:val="00890944"/>
    <w:rsid w:val="00891E26"/>
    <w:rsid w:val="00893A2E"/>
    <w:rsid w:val="00894B7A"/>
    <w:rsid w:val="00897DC0"/>
    <w:rsid w:val="008A7D69"/>
    <w:rsid w:val="008B3549"/>
    <w:rsid w:val="008B7603"/>
    <w:rsid w:val="008C58DC"/>
    <w:rsid w:val="008D10B9"/>
    <w:rsid w:val="008D54CF"/>
    <w:rsid w:val="008D5C31"/>
    <w:rsid w:val="008D5C84"/>
    <w:rsid w:val="008E2413"/>
    <w:rsid w:val="008E5027"/>
    <w:rsid w:val="008F50D4"/>
    <w:rsid w:val="008F66B1"/>
    <w:rsid w:val="0090339D"/>
    <w:rsid w:val="00904B1C"/>
    <w:rsid w:val="009070E8"/>
    <w:rsid w:val="00911685"/>
    <w:rsid w:val="00916DC4"/>
    <w:rsid w:val="00927523"/>
    <w:rsid w:val="00930CDD"/>
    <w:rsid w:val="00940805"/>
    <w:rsid w:val="00940C97"/>
    <w:rsid w:val="00947936"/>
    <w:rsid w:val="00967D53"/>
    <w:rsid w:val="00970843"/>
    <w:rsid w:val="0097330C"/>
    <w:rsid w:val="00994941"/>
    <w:rsid w:val="0099691E"/>
    <w:rsid w:val="009A3118"/>
    <w:rsid w:val="009A41C9"/>
    <w:rsid w:val="009A4A92"/>
    <w:rsid w:val="009B5409"/>
    <w:rsid w:val="009C0873"/>
    <w:rsid w:val="009C154D"/>
    <w:rsid w:val="009E1AE9"/>
    <w:rsid w:val="009F0032"/>
    <w:rsid w:val="009F3624"/>
    <w:rsid w:val="009F756A"/>
    <w:rsid w:val="00A00007"/>
    <w:rsid w:val="00A01B57"/>
    <w:rsid w:val="00A1251F"/>
    <w:rsid w:val="00A20142"/>
    <w:rsid w:val="00A21768"/>
    <w:rsid w:val="00A23C73"/>
    <w:rsid w:val="00A267BE"/>
    <w:rsid w:val="00A26FA4"/>
    <w:rsid w:val="00A2769D"/>
    <w:rsid w:val="00A32B5C"/>
    <w:rsid w:val="00A365D1"/>
    <w:rsid w:val="00A40B82"/>
    <w:rsid w:val="00A425A0"/>
    <w:rsid w:val="00A4356C"/>
    <w:rsid w:val="00A438F7"/>
    <w:rsid w:val="00A4393F"/>
    <w:rsid w:val="00A45E28"/>
    <w:rsid w:val="00A46826"/>
    <w:rsid w:val="00A4792D"/>
    <w:rsid w:val="00A564AC"/>
    <w:rsid w:val="00A62072"/>
    <w:rsid w:val="00A640C0"/>
    <w:rsid w:val="00A72DD7"/>
    <w:rsid w:val="00A75E13"/>
    <w:rsid w:val="00A77B8A"/>
    <w:rsid w:val="00A807BB"/>
    <w:rsid w:val="00A80AA4"/>
    <w:rsid w:val="00A91279"/>
    <w:rsid w:val="00A92B3A"/>
    <w:rsid w:val="00A95265"/>
    <w:rsid w:val="00A95A42"/>
    <w:rsid w:val="00A96F6E"/>
    <w:rsid w:val="00AA215D"/>
    <w:rsid w:val="00AA54B1"/>
    <w:rsid w:val="00AA6A67"/>
    <w:rsid w:val="00AB0877"/>
    <w:rsid w:val="00AB10B4"/>
    <w:rsid w:val="00AB39C5"/>
    <w:rsid w:val="00AB3E18"/>
    <w:rsid w:val="00AB6A40"/>
    <w:rsid w:val="00AD228E"/>
    <w:rsid w:val="00AD320B"/>
    <w:rsid w:val="00AD5C85"/>
    <w:rsid w:val="00AD77F6"/>
    <w:rsid w:val="00AD7B9A"/>
    <w:rsid w:val="00AE59F0"/>
    <w:rsid w:val="00AE65E9"/>
    <w:rsid w:val="00AF0C92"/>
    <w:rsid w:val="00AF276A"/>
    <w:rsid w:val="00AF3377"/>
    <w:rsid w:val="00AF33A1"/>
    <w:rsid w:val="00AF584F"/>
    <w:rsid w:val="00AF67D0"/>
    <w:rsid w:val="00B01692"/>
    <w:rsid w:val="00B1417D"/>
    <w:rsid w:val="00B14940"/>
    <w:rsid w:val="00B14A79"/>
    <w:rsid w:val="00B153DB"/>
    <w:rsid w:val="00B16D81"/>
    <w:rsid w:val="00B179D3"/>
    <w:rsid w:val="00B2038F"/>
    <w:rsid w:val="00B23988"/>
    <w:rsid w:val="00B244DE"/>
    <w:rsid w:val="00B2654C"/>
    <w:rsid w:val="00B27BDF"/>
    <w:rsid w:val="00B4195A"/>
    <w:rsid w:val="00B421D3"/>
    <w:rsid w:val="00B424E4"/>
    <w:rsid w:val="00B705DB"/>
    <w:rsid w:val="00B7276A"/>
    <w:rsid w:val="00B76ACB"/>
    <w:rsid w:val="00B822DA"/>
    <w:rsid w:val="00B82944"/>
    <w:rsid w:val="00B924B1"/>
    <w:rsid w:val="00B9319E"/>
    <w:rsid w:val="00B9503E"/>
    <w:rsid w:val="00B97BB4"/>
    <w:rsid w:val="00BA0AF9"/>
    <w:rsid w:val="00BA4C28"/>
    <w:rsid w:val="00BA5E0B"/>
    <w:rsid w:val="00BB4240"/>
    <w:rsid w:val="00BC1E09"/>
    <w:rsid w:val="00BC540A"/>
    <w:rsid w:val="00BC56B0"/>
    <w:rsid w:val="00BC64DE"/>
    <w:rsid w:val="00BE6E1F"/>
    <w:rsid w:val="00BE7098"/>
    <w:rsid w:val="00BF136C"/>
    <w:rsid w:val="00BF3664"/>
    <w:rsid w:val="00BF45E8"/>
    <w:rsid w:val="00BF64D0"/>
    <w:rsid w:val="00BF7B21"/>
    <w:rsid w:val="00C00797"/>
    <w:rsid w:val="00C02327"/>
    <w:rsid w:val="00C053E1"/>
    <w:rsid w:val="00C067CC"/>
    <w:rsid w:val="00C11AA2"/>
    <w:rsid w:val="00C128D6"/>
    <w:rsid w:val="00C137A1"/>
    <w:rsid w:val="00C17F84"/>
    <w:rsid w:val="00C22D50"/>
    <w:rsid w:val="00C237FD"/>
    <w:rsid w:val="00C34A55"/>
    <w:rsid w:val="00C35D44"/>
    <w:rsid w:val="00C37033"/>
    <w:rsid w:val="00C37785"/>
    <w:rsid w:val="00C40810"/>
    <w:rsid w:val="00C40D3C"/>
    <w:rsid w:val="00C444C8"/>
    <w:rsid w:val="00C513F2"/>
    <w:rsid w:val="00C57602"/>
    <w:rsid w:val="00C602CA"/>
    <w:rsid w:val="00C60551"/>
    <w:rsid w:val="00C650A2"/>
    <w:rsid w:val="00C75737"/>
    <w:rsid w:val="00C815C1"/>
    <w:rsid w:val="00C83A92"/>
    <w:rsid w:val="00C90B1B"/>
    <w:rsid w:val="00CA009A"/>
    <w:rsid w:val="00CA6313"/>
    <w:rsid w:val="00CB2699"/>
    <w:rsid w:val="00CB3DCE"/>
    <w:rsid w:val="00CB5A5C"/>
    <w:rsid w:val="00CC25C1"/>
    <w:rsid w:val="00CC5F56"/>
    <w:rsid w:val="00CD18FD"/>
    <w:rsid w:val="00CD6498"/>
    <w:rsid w:val="00CE198C"/>
    <w:rsid w:val="00CE2C59"/>
    <w:rsid w:val="00CE5D36"/>
    <w:rsid w:val="00CF4540"/>
    <w:rsid w:val="00CF7DE1"/>
    <w:rsid w:val="00D00C23"/>
    <w:rsid w:val="00D026A8"/>
    <w:rsid w:val="00D02BE4"/>
    <w:rsid w:val="00D02EAB"/>
    <w:rsid w:val="00D1190B"/>
    <w:rsid w:val="00D218C5"/>
    <w:rsid w:val="00D230EC"/>
    <w:rsid w:val="00D27B97"/>
    <w:rsid w:val="00D302D6"/>
    <w:rsid w:val="00D316DB"/>
    <w:rsid w:val="00D323A7"/>
    <w:rsid w:val="00D34D01"/>
    <w:rsid w:val="00D37E08"/>
    <w:rsid w:val="00D40467"/>
    <w:rsid w:val="00D41590"/>
    <w:rsid w:val="00D43A5C"/>
    <w:rsid w:val="00D45C67"/>
    <w:rsid w:val="00D46E15"/>
    <w:rsid w:val="00D47A5B"/>
    <w:rsid w:val="00D52D9E"/>
    <w:rsid w:val="00D576C3"/>
    <w:rsid w:val="00D607B5"/>
    <w:rsid w:val="00D617DE"/>
    <w:rsid w:val="00D635FA"/>
    <w:rsid w:val="00D6363C"/>
    <w:rsid w:val="00D6405A"/>
    <w:rsid w:val="00D67A58"/>
    <w:rsid w:val="00D809AF"/>
    <w:rsid w:val="00D8267A"/>
    <w:rsid w:val="00D862D4"/>
    <w:rsid w:val="00D86392"/>
    <w:rsid w:val="00DA17CF"/>
    <w:rsid w:val="00DA2525"/>
    <w:rsid w:val="00DA4663"/>
    <w:rsid w:val="00DA51A5"/>
    <w:rsid w:val="00DA7EA8"/>
    <w:rsid w:val="00DB1838"/>
    <w:rsid w:val="00DB2CDF"/>
    <w:rsid w:val="00DB7E67"/>
    <w:rsid w:val="00DC06AF"/>
    <w:rsid w:val="00DC1A39"/>
    <w:rsid w:val="00DD095D"/>
    <w:rsid w:val="00DD1605"/>
    <w:rsid w:val="00DD296C"/>
    <w:rsid w:val="00DD675E"/>
    <w:rsid w:val="00DE5EE4"/>
    <w:rsid w:val="00DE6846"/>
    <w:rsid w:val="00E01630"/>
    <w:rsid w:val="00E21303"/>
    <w:rsid w:val="00E34948"/>
    <w:rsid w:val="00E35B10"/>
    <w:rsid w:val="00E35FA1"/>
    <w:rsid w:val="00E36802"/>
    <w:rsid w:val="00E4305A"/>
    <w:rsid w:val="00E53215"/>
    <w:rsid w:val="00E536B8"/>
    <w:rsid w:val="00E568B6"/>
    <w:rsid w:val="00E61759"/>
    <w:rsid w:val="00E650A8"/>
    <w:rsid w:val="00E71009"/>
    <w:rsid w:val="00E7189E"/>
    <w:rsid w:val="00E80CF4"/>
    <w:rsid w:val="00E817AF"/>
    <w:rsid w:val="00E86C5B"/>
    <w:rsid w:val="00E96AA5"/>
    <w:rsid w:val="00EA4600"/>
    <w:rsid w:val="00EA7043"/>
    <w:rsid w:val="00EB7FB8"/>
    <w:rsid w:val="00EC09CF"/>
    <w:rsid w:val="00EC0B30"/>
    <w:rsid w:val="00EC3381"/>
    <w:rsid w:val="00EC5DA1"/>
    <w:rsid w:val="00EC7017"/>
    <w:rsid w:val="00EC7934"/>
    <w:rsid w:val="00ED67F6"/>
    <w:rsid w:val="00ED6F12"/>
    <w:rsid w:val="00EE06B5"/>
    <w:rsid w:val="00EE1BCF"/>
    <w:rsid w:val="00EE39C9"/>
    <w:rsid w:val="00EE404F"/>
    <w:rsid w:val="00EF5086"/>
    <w:rsid w:val="00F0107F"/>
    <w:rsid w:val="00F020E1"/>
    <w:rsid w:val="00F0393A"/>
    <w:rsid w:val="00F121A8"/>
    <w:rsid w:val="00F211A8"/>
    <w:rsid w:val="00F227B0"/>
    <w:rsid w:val="00F25EDF"/>
    <w:rsid w:val="00F26416"/>
    <w:rsid w:val="00F27271"/>
    <w:rsid w:val="00F3291A"/>
    <w:rsid w:val="00F36943"/>
    <w:rsid w:val="00F372AF"/>
    <w:rsid w:val="00F41DE4"/>
    <w:rsid w:val="00F47384"/>
    <w:rsid w:val="00F528F8"/>
    <w:rsid w:val="00F53DAA"/>
    <w:rsid w:val="00F55AF9"/>
    <w:rsid w:val="00F56545"/>
    <w:rsid w:val="00F56BC7"/>
    <w:rsid w:val="00F60E65"/>
    <w:rsid w:val="00F62838"/>
    <w:rsid w:val="00F72507"/>
    <w:rsid w:val="00F80A7D"/>
    <w:rsid w:val="00F95D82"/>
    <w:rsid w:val="00F97F76"/>
    <w:rsid w:val="00FA089C"/>
    <w:rsid w:val="00FA0A97"/>
    <w:rsid w:val="00FB22CE"/>
    <w:rsid w:val="00FB32DA"/>
    <w:rsid w:val="00FB3E9D"/>
    <w:rsid w:val="00FB4A42"/>
    <w:rsid w:val="00FB50BF"/>
    <w:rsid w:val="00FC5EE9"/>
    <w:rsid w:val="00FC68B1"/>
    <w:rsid w:val="00FC780F"/>
    <w:rsid w:val="00FE1608"/>
    <w:rsid w:val="00FE43CB"/>
    <w:rsid w:val="00FE5F03"/>
    <w:rsid w:val="00FE6786"/>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0F6287"/>
  <w15:docId w15:val="{3463D361-4B31-43CA-B2F6-C785D85A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6A"/>
    <w:pPr>
      <w:keepLines/>
      <w:widowControl w:val="0"/>
      <w:autoSpaceDE w:val="0"/>
      <w:autoSpaceDN w:val="0"/>
      <w:ind w:left="100" w:hangingChars="100" w:hanging="100"/>
      <w:jc w:val="both"/>
    </w:p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D37E08"/>
    <w:pPr>
      <w:keepNext/>
      <w:numPr>
        <w:ilvl w:val="2"/>
        <w:numId w:val="8"/>
      </w:numPr>
      <w:spacing w:beforeLines="150" w:before="150"/>
      <w:outlineLvl w:val="2"/>
    </w:pPr>
    <w:rPr>
      <w:rFonts w:asciiTheme="majorHAnsi" w:eastAsiaTheme="majorEastAsia" w:hAnsiTheme="majorHAnsi" w:cstheme="majorBidi"/>
      <w:b/>
      <w:sz w:val="24"/>
      <w:u w:val="single"/>
    </w:rPr>
  </w:style>
  <w:style w:type="paragraph" w:styleId="4">
    <w:name w:val="heading 4"/>
    <w:next w:val="a"/>
    <w:link w:val="40"/>
    <w:uiPriority w:val="9"/>
    <w:unhideWhenUsed/>
    <w:qFormat/>
    <w:rsid w:val="0012327E"/>
    <w:pPr>
      <w:keepNext/>
      <w:numPr>
        <w:ilvl w:val="3"/>
        <w:numId w:val="8"/>
      </w:numPr>
      <w:spacing w:beforeLines="100" w:before="100"/>
      <w:outlineLvl w:val="3"/>
    </w:pPr>
    <w:rPr>
      <w:rFonts w:asciiTheme="majorHAnsi" w:eastAsiaTheme="majorEastAsia" w:hAnsiTheme="majorHAnsi"/>
      <w:b/>
      <w:bCs/>
      <w:sz w:val="24"/>
      <w:u w:val="single"/>
    </w:rPr>
  </w:style>
  <w:style w:type="paragraph" w:styleId="5">
    <w:name w:val="heading 5"/>
    <w:next w:val="a"/>
    <w:link w:val="50"/>
    <w:uiPriority w:val="9"/>
    <w:unhideWhenUsed/>
    <w:qFormat/>
    <w:rsid w:val="00BC1E09"/>
    <w:pPr>
      <w:keepNext/>
      <w:numPr>
        <w:ilvl w:val="4"/>
        <w:numId w:val="8"/>
      </w:numPr>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BC1E09"/>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D37E08"/>
    <w:rPr>
      <w:rFonts w:asciiTheme="majorHAnsi" w:eastAsiaTheme="majorEastAsia" w:hAnsiTheme="majorHAnsi" w:cstheme="majorBidi"/>
      <w:b/>
      <w:sz w:val="24"/>
      <w:u w:val="single"/>
    </w:rPr>
  </w:style>
  <w:style w:type="character" w:customStyle="1" w:styleId="40">
    <w:name w:val="見出し 4 (文字)"/>
    <w:basedOn w:val="a0"/>
    <w:link w:val="4"/>
    <w:uiPriority w:val="9"/>
    <w:rsid w:val="0012327E"/>
    <w:rPr>
      <w:rFonts w:asciiTheme="majorHAnsi" w:eastAsiaTheme="majorEastAsia" w:hAnsiTheme="majorHAnsi"/>
      <w:b/>
      <w:bCs/>
      <w:sz w:val="24"/>
      <w:u w:val="single"/>
    </w:rPr>
  </w:style>
  <w:style w:type="paragraph" w:styleId="a3">
    <w:name w:val="List Paragraph"/>
    <w:basedOn w:val="a"/>
    <w:uiPriority w:val="34"/>
    <w:rsid w:val="00D34D01"/>
    <w:pPr>
      <w:ind w:leftChars="400" w:left="840"/>
    </w:pPr>
  </w:style>
  <w:style w:type="paragraph" w:styleId="a4">
    <w:name w:val="header"/>
    <w:basedOn w:val="a"/>
    <w:link w:val="a5"/>
    <w:uiPriority w:val="99"/>
    <w:unhideWhenUsed/>
    <w:rsid w:val="00E7189E"/>
    <w:pPr>
      <w:tabs>
        <w:tab w:val="center" w:pos="4252"/>
        <w:tab w:val="right" w:pos="8504"/>
      </w:tabs>
      <w:snapToGrid w:val="0"/>
    </w:pPr>
  </w:style>
  <w:style w:type="character" w:customStyle="1" w:styleId="a5">
    <w:name w:val="ヘッダー (文字)"/>
    <w:basedOn w:val="a0"/>
    <w:link w:val="a4"/>
    <w:uiPriority w:val="99"/>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uiPriority w:val="99"/>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semiHidden/>
    <w:unhideWhenUsed/>
    <w:rsid w:val="0037298C"/>
    <w:pPr>
      <w:jc w:val="left"/>
    </w:pPr>
    <w:rPr>
      <w:rFonts w:cs="Times New Roman"/>
      <w:szCs w:val="24"/>
    </w:rPr>
  </w:style>
  <w:style w:type="character" w:customStyle="1" w:styleId="ae">
    <w:name w:val="コメント文字列 (文字)"/>
    <w:basedOn w:val="a0"/>
    <w:link w:val="ad"/>
    <w:semiHidden/>
    <w:rsid w:val="0037298C"/>
    <w:rPr>
      <w:rFonts w:cs="Times New Roman"/>
      <w:sz w:val="24"/>
      <w:szCs w:val="24"/>
    </w:rPr>
  </w:style>
  <w:style w:type="paragraph" w:styleId="af">
    <w:name w:val="annotation subject"/>
    <w:basedOn w:val="ad"/>
    <w:next w:val="ad"/>
    <w:link w:val="af0"/>
    <w:uiPriority w:val="99"/>
    <w:semiHidden/>
    <w:unhideWhenUsed/>
    <w:rsid w:val="00EC7017"/>
    <w:rPr>
      <w:rFonts w:cstheme="minorBidi"/>
      <w:b/>
      <w:bCs/>
      <w:szCs w:val="22"/>
    </w:rPr>
  </w:style>
  <w:style w:type="character" w:customStyle="1" w:styleId="af0">
    <w:name w:val="コメント内容 (文字)"/>
    <w:basedOn w:val="ae"/>
    <w:link w:val="af"/>
    <w:uiPriority w:val="99"/>
    <w:semiHidden/>
    <w:rsid w:val="00EC7017"/>
    <w:rPr>
      <w:rFonts w:cs="Times New Roman"/>
      <w:b/>
      <w:bCs/>
      <w:sz w:val="24"/>
      <w:szCs w:val="24"/>
    </w:rPr>
  </w:style>
  <w:style w:type="character" w:customStyle="1" w:styleId="50">
    <w:name w:val="見出し 5 (文字)"/>
    <w:basedOn w:val="a0"/>
    <w:link w:val="5"/>
    <w:uiPriority w:val="9"/>
    <w:rsid w:val="00BC1E09"/>
    <w:rPr>
      <w:rFonts w:asciiTheme="majorHAnsi" w:eastAsiaTheme="majorEastAsia" w:hAnsiTheme="majorHAnsi" w:cstheme="majorBidi"/>
      <w:sz w:val="24"/>
    </w:rPr>
  </w:style>
  <w:style w:type="character" w:customStyle="1" w:styleId="60">
    <w:name w:val="見出し 6 (文字)"/>
    <w:basedOn w:val="a0"/>
    <w:link w:val="6"/>
    <w:uiPriority w:val="9"/>
    <w:rsid w:val="00BC1E09"/>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customStyle="1" w:styleId="af1">
    <w:name w:val="答申"/>
    <w:basedOn w:val="a"/>
    <w:link w:val="af2"/>
    <w:qFormat/>
    <w:rsid w:val="00FC780F"/>
    <w:pPr>
      <w:pBdr>
        <w:top w:val="dashed" w:sz="4" w:space="4" w:color="auto"/>
        <w:left w:val="dashed" w:sz="4" w:space="4" w:color="auto"/>
        <w:bottom w:val="dashed" w:sz="4" w:space="4" w:color="auto"/>
        <w:right w:val="dashed" w:sz="4" w:space="4" w:color="auto"/>
      </w:pBdr>
      <w:spacing w:line="320" w:lineRule="exact"/>
      <w:ind w:leftChars="100" w:left="200"/>
    </w:pPr>
  </w:style>
  <w:style w:type="character" w:customStyle="1" w:styleId="af2">
    <w:name w:val="答申 (文字)"/>
    <w:basedOn w:val="a0"/>
    <w:link w:val="af1"/>
    <w:rsid w:val="00FC780F"/>
  </w:style>
  <w:style w:type="paragraph" w:styleId="af3">
    <w:name w:val="footnote text"/>
    <w:basedOn w:val="a"/>
    <w:link w:val="af4"/>
    <w:uiPriority w:val="99"/>
    <w:semiHidden/>
    <w:unhideWhenUsed/>
    <w:rsid w:val="0012327E"/>
    <w:pPr>
      <w:snapToGrid w:val="0"/>
      <w:jc w:val="left"/>
    </w:pPr>
  </w:style>
  <w:style w:type="character" w:customStyle="1" w:styleId="af4">
    <w:name w:val="脚注文字列 (文字)"/>
    <w:basedOn w:val="a0"/>
    <w:link w:val="af3"/>
    <w:uiPriority w:val="99"/>
    <w:semiHidden/>
    <w:rsid w:val="0012327E"/>
    <w:rPr>
      <w:sz w:val="24"/>
    </w:rPr>
  </w:style>
  <w:style w:type="character" w:styleId="af5">
    <w:name w:val="footnote reference"/>
    <w:basedOn w:val="a0"/>
    <w:uiPriority w:val="99"/>
    <w:semiHidden/>
    <w:unhideWhenUsed/>
    <w:rsid w:val="0012327E"/>
    <w:rPr>
      <w:vertAlign w:val="superscript"/>
    </w:rPr>
  </w:style>
  <w:style w:type="paragraph" w:customStyle="1" w:styleId="af6">
    <w:name w:val="箱書き"/>
    <w:basedOn w:val="a"/>
    <w:link w:val="af7"/>
    <w:qFormat/>
    <w:rsid w:val="001640D2"/>
    <w:pPr>
      <w:pBdr>
        <w:top w:val="single" w:sz="12" w:space="1" w:color="auto"/>
        <w:left w:val="single" w:sz="12" w:space="4" w:color="auto"/>
        <w:bottom w:val="single" w:sz="12" w:space="1" w:color="auto"/>
        <w:right w:val="single" w:sz="12" w:space="4" w:color="auto"/>
      </w:pBdr>
      <w:ind w:leftChars="100" w:firstLineChars="0" w:firstLine="0"/>
    </w:pPr>
  </w:style>
  <w:style w:type="character" w:customStyle="1" w:styleId="af7">
    <w:name w:val="箱書き (文字)"/>
    <w:basedOn w:val="a0"/>
    <w:link w:val="af6"/>
    <w:rsid w:val="001640D2"/>
    <w:rPr>
      <w:sz w:val="24"/>
    </w:rPr>
  </w:style>
  <w:style w:type="table" w:styleId="af8">
    <w:name w:val="Table Grid"/>
    <w:basedOn w:val="a1"/>
    <w:uiPriority w:val="59"/>
    <w:rsid w:val="0027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関連法令等"/>
    <w:basedOn w:val="a"/>
    <w:link w:val="afa"/>
    <w:qFormat/>
    <w:rsid w:val="00927523"/>
    <w:pPr>
      <w:ind w:leftChars="100" w:left="1890" w:hangingChars="800" w:hanging="1680"/>
    </w:pPr>
  </w:style>
  <w:style w:type="character" w:customStyle="1" w:styleId="afa">
    <w:name w:val="関連法令等 (文字)"/>
    <w:basedOn w:val="a0"/>
    <w:link w:val="af9"/>
    <w:rsid w:val="0092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0857">
      <w:bodyDiv w:val="1"/>
      <w:marLeft w:val="0"/>
      <w:marRight w:val="0"/>
      <w:marTop w:val="0"/>
      <w:marBottom w:val="0"/>
      <w:divBdr>
        <w:top w:val="none" w:sz="0" w:space="0" w:color="auto"/>
        <w:left w:val="none" w:sz="0" w:space="0" w:color="auto"/>
        <w:bottom w:val="none" w:sz="0" w:space="0" w:color="auto"/>
        <w:right w:val="none" w:sz="0" w:space="0" w:color="auto"/>
      </w:divBdr>
    </w:div>
    <w:div w:id="514729121">
      <w:bodyDiv w:val="1"/>
      <w:marLeft w:val="0"/>
      <w:marRight w:val="0"/>
      <w:marTop w:val="0"/>
      <w:marBottom w:val="0"/>
      <w:divBdr>
        <w:top w:val="none" w:sz="0" w:space="0" w:color="auto"/>
        <w:left w:val="none" w:sz="0" w:space="0" w:color="auto"/>
        <w:bottom w:val="none" w:sz="0" w:space="0" w:color="auto"/>
        <w:right w:val="none" w:sz="0" w:space="0" w:color="auto"/>
      </w:divBdr>
    </w:div>
    <w:div w:id="516044603">
      <w:bodyDiv w:val="1"/>
      <w:marLeft w:val="0"/>
      <w:marRight w:val="0"/>
      <w:marTop w:val="0"/>
      <w:marBottom w:val="0"/>
      <w:divBdr>
        <w:top w:val="none" w:sz="0" w:space="0" w:color="auto"/>
        <w:left w:val="none" w:sz="0" w:space="0" w:color="auto"/>
        <w:bottom w:val="none" w:sz="0" w:space="0" w:color="auto"/>
        <w:right w:val="none" w:sz="0" w:space="0" w:color="auto"/>
      </w:divBdr>
    </w:div>
    <w:div w:id="12742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ito\Documents\Office%20&#12398;&#12459;&#12473;&#12479;&#12512;%20&#12486;&#12531;&#12503;&#12524;&#12540;&#12488;\&#12489;&#12461;&#12517;&#12513;&#12531;&#12488;&#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9BD1-8921-4FEA-9EE1-8EDE264B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ドキュメントテンプレート.dotx</Template>
  <TotalTime>2</TotalTime>
  <Pages>7</Pages>
  <Words>1684</Words>
  <Characters>9601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教学マネジメント指針・別紙３</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教学マネジメント指針・別紙３</dc:title>
  <dc:subject/>
  <dc:creator>文部科学省</dc:creator>
  <cp:keywords/>
  <cp:lastModifiedBy>m</cp:lastModifiedBy>
  <cp:revision>3</cp:revision>
  <cp:lastPrinted>2020-02-06T01:48:00Z</cp:lastPrinted>
  <dcterms:created xsi:type="dcterms:W3CDTF">2020-02-06T06:39:00Z</dcterms:created>
  <dcterms:modified xsi:type="dcterms:W3CDTF">2020-02-06T08:04:00Z</dcterms:modified>
</cp:coreProperties>
</file>