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0"/>
        <w:gridCol w:w="674"/>
        <w:gridCol w:w="573"/>
        <w:gridCol w:w="915"/>
        <w:gridCol w:w="1440"/>
        <w:gridCol w:w="360"/>
        <w:gridCol w:w="1080"/>
        <w:gridCol w:w="540"/>
        <w:gridCol w:w="2749"/>
      </w:tblGrid>
      <w:tr>
        <w:trPr>
          <w:cantSplit/>
        </w:trPr>
        <w:tc>
          <w:tcPr>
            <w:tcW w:w="1658" w:type="dxa"/>
            <w:vAlign w:val="center"/>
          </w:tcPr>
          <w:p>
            <w:pPr>
              <w:spacing w:line="240" w:lineRule="exact"/>
              <w:jc w:val="left"/>
              <w:rPr>
                <w:sz w:val="22"/>
                <w:szCs w:val="22"/>
              </w:rPr>
            </w:pPr>
            <w:r>
              <w:rPr>
                <w:sz w:val="22"/>
                <w:szCs w:val="22"/>
              </w:rPr>
              <w:t>1. Research Title:</w:t>
            </w:r>
          </w:p>
        </w:tc>
        <w:tc>
          <w:tcPr>
            <w:tcW w:w="8931" w:type="dxa"/>
            <w:gridSpan w:val="9"/>
          </w:tcPr>
          <w:p>
            <w:pPr>
              <w:spacing w:line="240" w:lineRule="exact"/>
              <w:rPr>
                <w:sz w:val="22"/>
                <w:szCs w:val="22"/>
              </w:rPr>
            </w:pPr>
          </w:p>
        </w:tc>
      </w:tr>
      <w:tr>
        <w:trPr>
          <w:cantSplit/>
        </w:trPr>
        <w:tc>
          <w:tcPr>
            <w:tcW w:w="1658" w:type="dxa"/>
            <w:vAlign w:val="center"/>
          </w:tcPr>
          <w:p>
            <w:pPr>
              <w:spacing w:line="240" w:lineRule="exact"/>
              <w:jc w:val="left"/>
              <w:rPr>
                <w:sz w:val="22"/>
                <w:szCs w:val="22"/>
              </w:rPr>
            </w:pPr>
            <w:r>
              <w:rPr>
                <w:sz w:val="22"/>
                <w:szCs w:val="22"/>
              </w:rPr>
              <w:t>2. Research Purpose:</w:t>
            </w:r>
          </w:p>
        </w:tc>
        <w:tc>
          <w:tcPr>
            <w:tcW w:w="8931" w:type="dxa"/>
            <w:gridSpan w:val="9"/>
          </w:tcPr>
          <w:p>
            <w:pPr>
              <w:spacing w:line="240" w:lineRule="exact"/>
              <w:rPr>
                <w:sz w:val="22"/>
                <w:szCs w:val="22"/>
              </w:rPr>
            </w:pPr>
          </w:p>
        </w:tc>
      </w:tr>
      <w:tr>
        <w:trPr>
          <w:cantSplit/>
        </w:trPr>
        <w:tc>
          <w:tcPr>
            <w:tcW w:w="1658" w:type="dxa"/>
            <w:vAlign w:val="center"/>
          </w:tcPr>
          <w:p>
            <w:pPr>
              <w:spacing w:line="240" w:lineRule="exact"/>
              <w:jc w:val="left"/>
              <w:rPr>
                <w:sz w:val="22"/>
                <w:szCs w:val="22"/>
              </w:rPr>
            </w:pPr>
            <w:r>
              <w:rPr>
                <w:sz w:val="22"/>
                <w:szCs w:val="22"/>
              </w:rPr>
              <w:t>3. Research Description:</w:t>
            </w:r>
          </w:p>
        </w:tc>
        <w:tc>
          <w:tcPr>
            <w:tcW w:w="8931" w:type="dxa"/>
            <w:gridSpan w:val="9"/>
          </w:tcPr>
          <w:p>
            <w:pPr>
              <w:spacing w:line="240" w:lineRule="exact"/>
              <w:rPr>
                <w:sz w:val="22"/>
                <w:szCs w:val="22"/>
              </w:rPr>
            </w:pPr>
          </w:p>
        </w:tc>
      </w:tr>
      <w:tr>
        <w:trPr>
          <w:cantSplit/>
        </w:trPr>
        <w:tc>
          <w:tcPr>
            <w:tcW w:w="1658"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5"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29"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8" w:type="dxa"/>
            <w:vMerge/>
          </w:tcPr>
          <w:p>
            <w:pPr>
              <w:spacing w:line="240" w:lineRule="exact"/>
              <w:rPr>
                <w:sz w:val="22"/>
                <w:szCs w:val="22"/>
              </w:rPr>
            </w:pPr>
          </w:p>
        </w:tc>
        <w:tc>
          <w:tcPr>
            <w:tcW w:w="600"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5" w:type="dxa"/>
            <w:gridSpan w:val="2"/>
            <w:vAlign w:val="center"/>
          </w:tcPr>
          <w:p>
            <w:pPr>
              <w:spacing w:line="240" w:lineRule="exact"/>
              <w:rPr>
                <w:sz w:val="22"/>
                <w:szCs w:val="22"/>
              </w:rPr>
            </w:pPr>
          </w:p>
        </w:tc>
        <w:tc>
          <w:tcPr>
            <w:tcW w:w="4729" w:type="dxa"/>
            <w:gridSpan w:val="4"/>
            <w:vAlign w:val="center"/>
          </w:tcPr>
          <w:p>
            <w:pPr>
              <w:spacing w:line="240" w:lineRule="exact"/>
              <w:rPr>
                <w:b/>
                <w:bCs/>
                <w:sz w:val="22"/>
                <w:szCs w:val="22"/>
              </w:rPr>
            </w:pPr>
          </w:p>
        </w:tc>
      </w:tr>
      <w:tr>
        <w:trPr>
          <w:cantSplit/>
          <w:trHeight w:val="331"/>
        </w:trPr>
        <w:tc>
          <w:tcPr>
            <w:tcW w:w="1658"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5"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89" w:type="dxa"/>
            <w:gridSpan w:val="2"/>
            <w:vAlign w:val="center"/>
          </w:tcPr>
          <w:p>
            <w:pPr>
              <w:spacing w:line="240" w:lineRule="exact"/>
              <w:rPr>
                <w:sz w:val="22"/>
                <w:szCs w:val="22"/>
              </w:rPr>
            </w:pPr>
            <w:r>
              <w:rPr>
                <w:sz w:val="22"/>
                <w:szCs w:val="22"/>
              </w:rPr>
              <w:t>Dispatch of Personnel</w:t>
            </w:r>
          </w:p>
        </w:tc>
      </w:tr>
      <w:tr>
        <w:trPr>
          <w:cantSplit/>
          <w:trHeight w:val="314"/>
        </w:trPr>
        <w:tc>
          <w:tcPr>
            <w:tcW w:w="1658"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5"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89" w:type="dxa"/>
            <w:gridSpan w:val="2"/>
            <w:vAlign w:val="center"/>
          </w:tcPr>
          <w:p>
            <w:pPr>
              <w:spacing w:line="240" w:lineRule="exact"/>
              <w:rPr>
                <w:sz w:val="22"/>
                <w:szCs w:val="22"/>
              </w:rPr>
            </w:pPr>
            <w:r>
              <w:rPr>
                <w:sz w:val="22"/>
                <w:szCs w:val="22"/>
              </w:rPr>
              <w:t>Y or N</w:t>
            </w:r>
          </w:p>
        </w:tc>
      </w:tr>
      <w:tr>
        <w:trPr>
          <w:cantSplit/>
        </w:trPr>
        <w:tc>
          <w:tcPr>
            <w:tcW w:w="2258" w:type="dxa"/>
            <w:gridSpan w:val="2"/>
            <w:vAlign w:val="center"/>
          </w:tcPr>
          <w:p>
            <w:pPr>
              <w:spacing w:line="240" w:lineRule="exact"/>
              <w:rPr>
                <w:sz w:val="22"/>
                <w:szCs w:val="22"/>
              </w:rPr>
            </w:pPr>
            <w:r>
              <w:rPr>
                <w:sz w:val="22"/>
                <w:szCs w:val="22"/>
              </w:rPr>
              <w:t>5. Place of Research:</w:t>
            </w:r>
          </w:p>
        </w:tc>
        <w:tc>
          <w:tcPr>
            <w:tcW w:w="8331" w:type="dxa"/>
            <w:gridSpan w:val="8"/>
          </w:tcPr>
          <w:p>
            <w:pPr>
              <w:spacing w:line="240" w:lineRule="exact"/>
              <w:rPr>
                <w:sz w:val="22"/>
                <w:szCs w:val="22"/>
              </w:rPr>
            </w:pPr>
          </w:p>
        </w:tc>
      </w:tr>
      <w:tr>
        <w:trPr>
          <w:cantSplit/>
        </w:trPr>
        <w:tc>
          <w:tcPr>
            <w:tcW w:w="2258" w:type="dxa"/>
            <w:gridSpan w:val="2"/>
            <w:vAlign w:val="center"/>
          </w:tcPr>
          <w:p>
            <w:pPr>
              <w:spacing w:line="240" w:lineRule="exact"/>
              <w:rPr>
                <w:sz w:val="22"/>
                <w:szCs w:val="22"/>
              </w:rPr>
            </w:pPr>
            <w:r>
              <w:rPr>
                <w:sz w:val="22"/>
                <w:szCs w:val="22"/>
              </w:rPr>
              <w:t>6. Research Period:</w:t>
            </w:r>
          </w:p>
        </w:tc>
        <w:tc>
          <w:tcPr>
            <w:tcW w:w="8331" w:type="dxa"/>
            <w:gridSpan w:val="8"/>
          </w:tcPr>
          <w:p>
            <w:pPr>
              <w:spacing w:line="240" w:lineRule="exact"/>
              <w:rPr>
                <w:sz w:val="22"/>
                <w:szCs w:val="22"/>
              </w:rPr>
            </w:pPr>
            <w:r>
              <w:rPr>
                <w:sz w:val="22"/>
                <w:szCs w:val="22"/>
              </w:rPr>
              <w:t>From  [MM/DD/YYYY] through [MM/DD/YYYY]</w:t>
            </w:r>
          </w:p>
        </w:tc>
      </w:tr>
      <w:tr>
        <w:trPr>
          <w:cantSplit/>
        </w:trPr>
        <w:tc>
          <w:tcPr>
            <w:tcW w:w="2258"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4"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w:t>
            </w:r>
            <w:r>
              <w:rPr>
                <w:sz w:val="22"/>
                <w:szCs w:val="22"/>
              </w:rPr>
              <w:t>xpenses</w:t>
            </w:r>
          </w:p>
        </w:tc>
        <w:tc>
          <w:tcPr>
            <w:tcW w:w="4729" w:type="dxa"/>
            <w:gridSpan w:val="4"/>
            <w:vAlign w:val="center"/>
          </w:tcPr>
          <w:p>
            <w:pPr>
              <w:spacing w:line="240" w:lineRule="exact"/>
              <w:jc w:val="center"/>
              <w:rPr>
                <w:sz w:val="22"/>
                <w:szCs w:val="22"/>
              </w:rPr>
            </w:pPr>
          </w:p>
        </w:tc>
      </w:tr>
      <w:tr>
        <w:trPr>
          <w:cantSplit/>
          <w:trHeight w:val="29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29" w:type="dxa"/>
            <w:gridSpan w:val="4"/>
            <w:vAlign w:val="center"/>
          </w:tcPr>
          <w:p>
            <w:pPr>
              <w:spacing w:line="240" w:lineRule="exact"/>
              <w:rPr>
                <w:sz w:val="22"/>
                <w:szCs w:val="22"/>
              </w:rPr>
            </w:pPr>
          </w:p>
        </w:tc>
      </w:tr>
      <w:tr>
        <w:trPr>
          <w:cantSplit/>
          <w:trHeight w:val="29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29"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29"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Aggregate Amount</w:t>
            </w:r>
          </w:p>
        </w:tc>
        <w:tc>
          <w:tcPr>
            <w:tcW w:w="7657"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8" w:type="dxa"/>
            <w:gridSpan w:val="2"/>
            <w:vMerge w:val="restart"/>
            <w:vAlign w:val="center"/>
          </w:tcPr>
          <w:p>
            <w:pPr>
              <w:spacing w:line="240" w:lineRule="exact"/>
              <w:jc w:val="left"/>
              <w:rPr>
                <w:sz w:val="22"/>
                <w:szCs w:val="22"/>
              </w:rPr>
            </w:pPr>
            <w:r>
              <w:rPr>
                <w:sz w:val="22"/>
                <w:szCs w:val="22"/>
              </w:rPr>
              <w:t>8. Facility and Equipment</w:t>
            </w:r>
          </w:p>
        </w:tc>
        <w:tc>
          <w:tcPr>
            <w:tcW w:w="674"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69" w:type="dxa"/>
            <w:gridSpan w:val="5"/>
            <w:vAlign w:val="center"/>
          </w:tcPr>
          <w:p>
            <w:pPr>
              <w:spacing w:line="240" w:lineRule="exact"/>
              <w:rPr>
                <w:sz w:val="22"/>
                <w:szCs w:val="22"/>
              </w:rPr>
            </w:pPr>
            <w:r>
              <w:rPr>
                <w:sz w:val="22"/>
                <w:szCs w:val="22"/>
              </w:rPr>
              <w:t>Equipment</w:t>
            </w:r>
          </w:p>
        </w:tc>
      </w:tr>
      <w:tr>
        <w:trPr>
          <w:cantSplit/>
          <w:trHeight w:val="277"/>
        </w:trPr>
        <w:tc>
          <w:tcPr>
            <w:tcW w:w="2258" w:type="dxa"/>
            <w:gridSpan w:val="2"/>
            <w:vMerge/>
          </w:tcPr>
          <w:p>
            <w:pPr>
              <w:spacing w:line="240" w:lineRule="exact"/>
              <w:rPr>
                <w:sz w:val="22"/>
                <w:szCs w:val="22"/>
              </w:rPr>
            </w:pPr>
          </w:p>
        </w:tc>
        <w:tc>
          <w:tcPr>
            <w:tcW w:w="674"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49"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49" w:type="dxa"/>
            <w:vAlign w:val="center"/>
          </w:tcPr>
          <w:p>
            <w:pPr>
              <w:spacing w:line="240" w:lineRule="exact"/>
              <w:rPr>
                <w:sz w:val="22"/>
                <w:szCs w:val="22"/>
              </w:rPr>
            </w:pPr>
          </w:p>
        </w:tc>
      </w:tr>
      <w:tr>
        <w:trPr>
          <w:cantSplit/>
          <w:trHeight w:val="20"/>
        </w:trPr>
        <w:tc>
          <w:tcPr>
            <w:tcW w:w="2258" w:type="dxa"/>
            <w:gridSpan w:val="2"/>
            <w:vMerge/>
          </w:tcPr>
          <w:p>
            <w:pPr>
              <w:spacing w:line="240" w:lineRule="exact"/>
              <w:rPr>
                <w:sz w:val="22"/>
                <w:szCs w:val="22"/>
              </w:rPr>
            </w:pPr>
          </w:p>
        </w:tc>
        <w:tc>
          <w:tcPr>
            <w:tcW w:w="674"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49" w:type="dxa"/>
            <w:vAlign w:val="center"/>
          </w:tcPr>
          <w:p>
            <w:pPr>
              <w:spacing w:line="240" w:lineRule="exact"/>
              <w:rPr>
                <w:sz w:val="22"/>
                <w:szCs w:val="22"/>
              </w:rPr>
            </w:pPr>
          </w:p>
        </w:tc>
      </w:tr>
      <w:tr>
        <w:trPr>
          <w:cantSplit/>
        </w:trPr>
        <w:tc>
          <w:tcPr>
            <w:tcW w:w="2932" w:type="dxa"/>
            <w:gridSpan w:val="3"/>
            <w:vAlign w:val="center"/>
          </w:tcPr>
          <w:p>
            <w:pPr>
              <w:spacing w:line="240" w:lineRule="exact"/>
              <w:jc w:val="left"/>
              <w:rPr>
                <w:sz w:val="22"/>
                <w:szCs w:val="22"/>
              </w:rPr>
            </w:pPr>
            <w:r>
              <w:rPr>
                <w:sz w:val="22"/>
                <w:szCs w:val="22"/>
              </w:rPr>
              <w:t>9. Period for Confidentiality Obligations regarding Know-How:</w:t>
            </w:r>
          </w:p>
        </w:tc>
        <w:tc>
          <w:tcPr>
            <w:tcW w:w="7657"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2" w:type="dxa"/>
            <w:gridSpan w:val="3"/>
            <w:vAlign w:val="center"/>
          </w:tcPr>
          <w:p>
            <w:pPr>
              <w:spacing w:line="240" w:lineRule="exact"/>
              <w:jc w:val="left"/>
              <w:rPr>
                <w:sz w:val="22"/>
                <w:szCs w:val="22"/>
              </w:rPr>
            </w:pPr>
            <w:r>
              <w:rPr>
                <w:sz w:val="22"/>
                <w:szCs w:val="22"/>
              </w:rPr>
              <w:t>10. Period of general Confidentiality Obligations:</w:t>
            </w:r>
          </w:p>
        </w:tc>
        <w:tc>
          <w:tcPr>
            <w:tcW w:w="7657"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37"/>
        </w:trPr>
        <w:tc>
          <w:tcPr>
            <w:tcW w:w="2258" w:type="dxa"/>
            <w:gridSpan w:val="2"/>
            <w:vMerge w:val="restart"/>
            <w:vAlign w:val="center"/>
          </w:tcPr>
          <w:p>
            <w:pPr>
              <w:spacing w:line="240" w:lineRule="exact"/>
              <w:jc w:val="left"/>
              <w:rPr>
                <w:sz w:val="22"/>
                <w:szCs w:val="22"/>
              </w:rPr>
            </w:pPr>
            <w:r>
              <w:rPr>
                <w:sz w:val="22"/>
                <w:szCs w:val="22"/>
              </w:rPr>
              <w:lastRenderedPageBreak/>
              <w:t>11.Ownership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674" w:type="dxa"/>
          </w:tcPr>
          <w:p>
            <w:pPr>
              <w:spacing w:line="240" w:lineRule="exact"/>
              <w:jc w:val="left"/>
              <w:rPr>
                <w:sz w:val="22"/>
                <w:szCs w:val="22"/>
              </w:rPr>
            </w:pPr>
            <w:r>
              <w:t>The University</w:t>
            </w:r>
          </w:p>
        </w:tc>
        <w:tc>
          <w:tcPr>
            <w:tcW w:w="7657" w:type="dxa"/>
            <w:gridSpan w:val="7"/>
          </w:tcPr>
          <w:p>
            <w:pPr>
              <w:spacing w:line="240" w:lineRule="exact"/>
              <w:rPr>
                <w:sz w:val="22"/>
                <w:szCs w:val="22"/>
              </w:rPr>
            </w:pPr>
            <w:r>
              <w:rPr>
                <w:sz w:val="22"/>
                <w:szCs w:val="22"/>
              </w:rPr>
              <w:t>Sole Ownership (Article 13)</w:t>
            </w:r>
          </w:p>
        </w:tc>
      </w:tr>
      <w:tr>
        <w:trPr>
          <w:cantSplit/>
          <w:trHeight w:val="236"/>
        </w:trPr>
        <w:tc>
          <w:tcPr>
            <w:tcW w:w="2258" w:type="dxa"/>
            <w:gridSpan w:val="2"/>
            <w:vMerge/>
            <w:vAlign w:val="center"/>
          </w:tcPr>
          <w:p>
            <w:pPr>
              <w:spacing w:line="240" w:lineRule="exact"/>
              <w:jc w:val="left"/>
              <w:rPr>
                <w:sz w:val="22"/>
                <w:szCs w:val="22"/>
              </w:rPr>
            </w:pPr>
          </w:p>
        </w:tc>
        <w:tc>
          <w:tcPr>
            <w:tcW w:w="674" w:type="dxa"/>
          </w:tcPr>
          <w:p>
            <w:pPr>
              <w:spacing w:line="240" w:lineRule="exact"/>
              <w:jc w:val="left"/>
              <w:rPr>
                <w:sz w:val="22"/>
                <w:szCs w:val="22"/>
              </w:rPr>
            </w:pPr>
            <w:r>
              <w:t>The Collaborator</w:t>
            </w:r>
          </w:p>
        </w:tc>
        <w:tc>
          <w:tcPr>
            <w:tcW w:w="7657" w:type="dxa"/>
            <w:gridSpan w:val="7"/>
          </w:tcPr>
          <w:p>
            <w:pPr>
              <w:spacing w:line="240" w:lineRule="exact"/>
              <w:rPr>
                <w:sz w:val="22"/>
                <w:szCs w:val="22"/>
              </w:rPr>
            </w:pPr>
            <w:r>
              <w:rPr>
                <w:rFonts w:hint="eastAsia"/>
                <w:sz w:val="22"/>
                <w:szCs w:val="22"/>
              </w:rPr>
              <w:t>―</w:t>
            </w:r>
          </w:p>
        </w:tc>
      </w:tr>
      <w:tr>
        <w:trPr>
          <w:cantSplit/>
          <w:trHeight w:val="129"/>
        </w:trPr>
        <w:tc>
          <w:tcPr>
            <w:tcW w:w="2258" w:type="dxa"/>
            <w:gridSpan w:val="2"/>
            <w:vMerge w:val="restart"/>
            <w:vAlign w:val="center"/>
          </w:tcPr>
          <w:p>
            <w:pPr>
              <w:spacing w:line="240" w:lineRule="exact"/>
              <w:jc w:val="left"/>
              <w:rPr>
                <w:sz w:val="22"/>
                <w:szCs w:val="22"/>
              </w:rPr>
            </w:pPr>
            <w:r>
              <w:rPr>
                <w:sz w:val="22"/>
                <w:szCs w:val="22"/>
              </w:rPr>
              <w:t>12. The Parties’ rights to the Research Results (including licenses, options)</w:t>
            </w:r>
          </w:p>
        </w:tc>
        <w:tc>
          <w:tcPr>
            <w:tcW w:w="674" w:type="dxa"/>
          </w:tcPr>
          <w:p>
            <w:pPr>
              <w:spacing w:line="240" w:lineRule="exact"/>
              <w:jc w:val="left"/>
              <w:rPr>
                <w:sz w:val="22"/>
                <w:szCs w:val="22"/>
              </w:rPr>
            </w:pPr>
            <w:r>
              <w:t>The University</w:t>
            </w:r>
          </w:p>
        </w:tc>
        <w:tc>
          <w:tcPr>
            <w:tcW w:w="7657" w:type="dxa"/>
            <w:gridSpan w:val="7"/>
          </w:tcPr>
          <w:p>
            <w:pPr>
              <w:spacing w:line="240" w:lineRule="exact"/>
              <w:rPr>
                <w:sz w:val="22"/>
                <w:szCs w:val="22"/>
              </w:rPr>
            </w:pPr>
            <w:r>
              <w:rPr>
                <w:sz w:val="22"/>
                <w:szCs w:val="22"/>
              </w:rPr>
              <w:t>Right to implement/license (Article 14</w:t>
            </w:r>
            <w:r>
              <w:rPr>
                <w:rFonts w:hint="eastAsia"/>
                <w:sz w:val="22"/>
                <w:szCs w:val="22"/>
              </w:rPr>
              <w:t>, Article 15</w:t>
            </w:r>
            <w:r>
              <w:rPr>
                <w:sz w:val="22"/>
                <w:szCs w:val="22"/>
              </w:rPr>
              <w:t>)</w:t>
            </w:r>
          </w:p>
        </w:tc>
      </w:tr>
      <w:tr>
        <w:trPr>
          <w:cantSplit/>
          <w:trHeight w:val="365"/>
        </w:trPr>
        <w:tc>
          <w:tcPr>
            <w:tcW w:w="2258" w:type="dxa"/>
            <w:gridSpan w:val="2"/>
            <w:vMerge/>
            <w:vAlign w:val="center"/>
          </w:tcPr>
          <w:p>
            <w:pPr>
              <w:spacing w:line="240" w:lineRule="exact"/>
              <w:jc w:val="left"/>
              <w:rPr>
                <w:sz w:val="22"/>
                <w:szCs w:val="22"/>
              </w:rPr>
            </w:pPr>
          </w:p>
        </w:tc>
        <w:tc>
          <w:tcPr>
            <w:tcW w:w="674" w:type="dxa"/>
          </w:tcPr>
          <w:p>
            <w:pPr>
              <w:spacing w:line="240" w:lineRule="exact"/>
              <w:jc w:val="left"/>
              <w:rPr>
                <w:sz w:val="22"/>
                <w:szCs w:val="22"/>
              </w:rPr>
            </w:pPr>
            <w:r>
              <w:t>The Collaborator</w:t>
            </w:r>
          </w:p>
        </w:tc>
        <w:tc>
          <w:tcPr>
            <w:tcW w:w="7657" w:type="dxa"/>
            <w:gridSpan w:val="7"/>
          </w:tcPr>
          <w:p>
            <w:pPr>
              <w:spacing w:line="240" w:lineRule="exact"/>
              <w:rPr>
                <w:sz w:val="22"/>
                <w:szCs w:val="22"/>
              </w:rPr>
            </w:pPr>
            <w:r>
              <w:rPr>
                <w:sz w:val="22"/>
                <w:szCs w:val="22"/>
              </w:rPr>
              <w:t>Royalty-Free,</w:t>
            </w:r>
            <w:r>
              <w:rPr>
                <w:rFonts w:hint="eastAsia"/>
                <w:sz w:val="22"/>
                <w:szCs w:val="22"/>
              </w:rPr>
              <w:t xml:space="preserve"> </w:t>
            </w:r>
            <w:r>
              <w:rPr>
                <w:sz w:val="22"/>
                <w:szCs w:val="22"/>
              </w:rPr>
              <w:t>Non-exclusive License for Collaborative Re</w:t>
            </w:r>
            <w:r>
              <w:rPr>
                <w:rFonts w:hint="eastAsia"/>
                <w:sz w:val="22"/>
                <w:szCs w:val="22"/>
              </w:rPr>
              <w:t>se</w:t>
            </w:r>
            <w:r>
              <w:rPr>
                <w:sz w:val="22"/>
                <w:szCs w:val="22"/>
              </w:rPr>
              <w:t>arch Purposes(Article 15)</w:t>
            </w:r>
          </w:p>
          <w:p>
            <w:pPr>
              <w:spacing w:line="240" w:lineRule="exact"/>
              <w:rPr>
                <w:sz w:val="22"/>
                <w:szCs w:val="22"/>
              </w:rPr>
            </w:pPr>
            <w:r>
              <w:rPr>
                <w:sz w:val="22"/>
                <w:szCs w:val="22"/>
              </w:rPr>
              <w:t xml:space="preserve">Option </w:t>
            </w:r>
            <w:proofErr w:type="spellStart"/>
            <w:r>
              <w:rPr>
                <w:sz w:val="22"/>
                <w:szCs w:val="22"/>
              </w:rPr>
              <w:t>for</w:t>
            </w:r>
            <w:r>
              <w:rPr>
                <w:rFonts w:hint="eastAsia"/>
                <w:sz w:val="22"/>
                <w:szCs w:val="22"/>
              </w:rPr>
              <w:t>:</w:t>
            </w:r>
            <w:r>
              <w:rPr>
                <w:sz w:val="22"/>
                <w:szCs w:val="22"/>
              </w:rPr>
              <w:t>Non-exclusive</w:t>
            </w:r>
            <w:proofErr w:type="spellEnd"/>
            <w:r>
              <w:rPr>
                <w:sz w:val="22"/>
                <w:szCs w:val="22"/>
              </w:rPr>
              <w:t xml:space="preserve"> License/ Exclusive License/Transfer (Article 16)</w:t>
            </w:r>
          </w:p>
        </w:tc>
      </w:tr>
    </w:tbl>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lastRenderedPageBreak/>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w:t>
      </w:r>
      <w:r>
        <w:rPr>
          <w:b/>
          <w:sz w:val="22"/>
          <w:szCs w:val="22"/>
        </w:rPr>
        <w:t>ing</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w:t>
      </w:r>
      <w:r>
        <w:rPr>
          <w:sz w:val="22"/>
          <w:szCs w:val="22"/>
        </w:rPr>
        <w:lastRenderedPageBreak/>
        <w:t>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5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expenses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shall pay the research expenses </w:t>
      </w:r>
      <w:r>
        <w:rPr>
          <w:rFonts w:hint="eastAsia"/>
          <w:sz w:val="22"/>
          <w:szCs w:val="22"/>
        </w:rPr>
        <w:t xml:space="preserve">[and research fee] set forth </w:t>
      </w:r>
      <w:r>
        <w:rPr>
          <w:sz w:val="22"/>
          <w:szCs w:val="22"/>
        </w:rPr>
        <w:t xml:space="preserve">in the invoice issued by the University by the due date of payment </w:t>
      </w:r>
      <w:r>
        <w:rPr>
          <w:rFonts w:hint="eastAsia"/>
          <w:sz w:val="22"/>
          <w:szCs w:val="22"/>
        </w:rPr>
        <w:t xml:space="preserve">set forth </w:t>
      </w:r>
      <w:r>
        <w:rPr>
          <w:sz w:val="22"/>
          <w:szCs w:val="22"/>
        </w:rPr>
        <w:t>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expenses </w:t>
      </w:r>
      <w:r>
        <w:rPr>
          <w:rFonts w:hint="eastAsia"/>
          <w:sz w:val="22"/>
          <w:szCs w:val="22"/>
        </w:rPr>
        <w:t xml:space="preserve">[and research fee] </w:t>
      </w:r>
      <w:r>
        <w:rPr>
          <w:sz w:val="22"/>
          <w:szCs w:val="22"/>
        </w:rPr>
        <w:t xml:space="preserve">by the prescribed due date of payment, the Collaborator shall additionally pay delay charges at the rate of five percent (5%) per annum for the outstanding amount on a daily pro-rata basis covering the period from and </w:t>
      </w:r>
      <w:r>
        <w:rPr>
          <w:sz w:val="22"/>
          <w:szCs w:val="22"/>
        </w:rPr>
        <w:lastRenderedPageBreak/>
        <w:t xml:space="preserve">including the day immediately following the due date for payment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to allow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w:t>
      </w:r>
      <w:r>
        <w:rPr>
          <w:sz w:val="22"/>
          <w:szCs w:val="22"/>
        </w:rPr>
        <w:lastRenderedPageBreak/>
        <w:t>transfer to another institution of any researcher</w:t>
      </w:r>
      <w:r>
        <w:rPr>
          <w:rFonts w:hint="eastAsia"/>
          <w:sz w:val="22"/>
          <w:szCs w:val="22"/>
        </w:rPr>
        <w:t xml:space="preserve"> </w:t>
      </w:r>
      <w:r>
        <w:rPr>
          <w:sz w:val="22"/>
          <w:szCs w:val="22"/>
        </w:rPr>
        <w:t>etc., of the University</w:t>
      </w:r>
      <w:r>
        <w:rPr>
          <w:rFonts w:hint="eastAsia"/>
          <w:sz w:val="22"/>
          <w:szCs w:val="22"/>
        </w:rPr>
        <w:t>,</w:t>
      </w:r>
      <w:r>
        <w:rPr>
          <w:sz w:val="22"/>
          <w:szCs w:val="22"/>
        </w:rPr>
        <w:t xml:space="preserve">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funds for</w:t>
      </w:r>
      <w:r>
        <w:rPr>
          <w:sz w:val="22"/>
          <w:szCs w:val="22"/>
        </w:rPr>
        <w:t xml:space="preserve"> research </w:t>
      </w:r>
      <w:r>
        <w:rPr>
          <w:rFonts w:hint="eastAsia"/>
          <w:sz w:val="22"/>
          <w:szCs w:val="22"/>
        </w:rPr>
        <w:t>expenses</w:t>
      </w:r>
      <w:r>
        <w:rPr>
          <w:sz w:val="22"/>
          <w:szCs w:val="22"/>
        </w:rPr>
        <w:t xml:space="preserve"> </w:t>
      </w:r>
      <w:r>
        <w:rPr>
          <w:rFonts w:hint="eastAsia"/>
          <w:sz w:val="22"/>
          <w:szCs w:val="22"/>
        </w:rPr>
        <w:t xml:space="preserve">that </w:t>
      </w:r>
      <w:r>
        <w:rPr>
          <w:sz w:val="22"/>
          <w:szCs w:val="22"/>
        </w:rPr>
        <w:t xml:space="preserve">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 xml:space="preserve">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 xml:space="preserve">such shortage, the University may discontinue the Collaborative Research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10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the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the amount of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Within [  ] days after the day immediately following the completion of the Collaborative Research, the University and the Collaborator 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by the University.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With regard to the Subject Intellectual Property Rights, the University and the Collaborator shall,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cause the University to own the same.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(Implementation of the Subject Inventions</w:t>
      </w:r>
      <w:r>
        <w:rPr>
          <w:rFonts w:hint="eastAsia"/>
          <w:b/>
          <w:sz w:val="22"/>
          <w:szCs w:val="22"/>
        </w:rPr>
        <w:t>)</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The University may implement the Subject Inventions for research purposes, p</w:t>
      </w:r>
      <w:r>
        <w:rPr>
          <w:sz w:val="22"/>
          <w:szCs w:val="22"/>
        </w:rPr>
        <w:t>r</w:t>
      </w:r>
      <w:r>
        <w:rPr>
          <w:rFonts w:hint="eastAsia"/>
          <w:sz w:val="22"/>
          <w:szCs w:val="22"/>
        </w:rPr>
        <w:t xml:space="preserve">ovided that the </w:t>
      </w:r>
      <w:r>
        <w:rPr>
          <w:rFonts w:hint="eastAsia"/>
          <w:sz w:val="22"/>
          <w:szCs w:val="22"/>
        </w:rPr>
        <w:lastRenderedPageBreak/>
        <w:t xml:space="preserve">University complies with the Know-How confidentiality obligations specified in Article 21 and the </w:t>
      </w:r>
      <w:r>
        <w:rPr>
          <w:sz w:val="22"/>
          <w:szCs w:val="22"/>
        </w:rPr>
        <w:t>confidentiality</w:t>
      </w:r>
      <w:r>
        <w:rPr>
          <w:rFonts w:hint="eastAsia"/>
          <w:sz w:val="22"/>
          <w:szCs w:val="22"/>
        </w:rPr>
        <w:t xml:space="preserve"> obligations specified in Article 22 upon </w:t>
      </w:r>
      <w:r>
        <w:rPr>
          <w:sz w:val="22"/>
          <w:szCs w:val="22"/>
        </w:rPr>
        <w:t>implementing</w:t>
      </w:r>
      <w:r>
        <w:rPr>
          <w:rFonts w:hint="eastAsia"/>
          <w:sz w:val="22"/>
          <w:szCs w:val="22"/>
        </w:rPr>
        <w:t xml:space="preserve"> them.</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University shall provide the Collaborator with a royalty-free non-exclusive license to implementing the Subject Inventions for the purpose of conducting the Collaborative Research.</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Pr>
          <w:rFonts w:hint="eastAsia"/>
          <w:sz w:val="22"/>
          <w:szCs w:val="22"/>
        </w:rPr>
        <w:t xml:space="preserve">　</w:t>
      </w:r>
      <w:r>
        <w:rPr>
          <w:rFonts w:hint="eastAsia"/>
          <w:sz w:val="22"/>
          <w:szCs w:val="22"/>
        </w:rPr>
        <w:t>The University may provide any third party, other than the Collaborator, with a license to implement the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Article 16 (Options)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  The Collaborator may opt for one of the following Items by notifying the University in writing within two (2) years from the Applications of the Subject Inventions: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 the non-exclusive right to implement the Subject Inventions [with/without consideration] for any purpose other than conducting the Collaborative Research; Implementation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s business shall be deemed as Implementation by the Collaborator. 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 the exclusive right to implement the Subject Inventions [with/without consideration] (including provision of non-exclusive licenses to third parties); Implementation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 xml:space="preserve">s business shall be deemed as Implementation by the Collaborator. Or,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proofErr w:type="gramStart"/>
      <w:r>
        <w:rPr>
          <w:rFonts w:hint="eastAsia"/>
          <w:sz w:val="22"/>
          <w:szCs w:val="22"/>
        </w:rPr>
        <w:t>the</w:t>
      </w:r>
      <w:proofErr w:type="gramEnd"/>
      <w:r>
        <w:rPr>
          <w:rFonts w:hint="eastAsia"/>
          <w:sz w:val="22"/>
          <w:szCs w:val="22"/>
        </w:rPr>
        <w:t xml:space="preserve"> right to acquire the Subject Intellectual P</w:t>
      </w:r>
      <w:r>
        <w:rPr>
          <w:sz w:val="22"/>
          <w:szCs w:val="22"/>
        </w:rPr>
        <w:t>r</w:t>
      </w:r>
      <w:r>
        <w:rPr>
          <w:rFonts w:hint="eastAsia"/>
          <w:sz w:val="22"/>
          <w:szCs w:val="22"/>
        </w:rPr>
        <w:t>operty Rights for a consideration.</w:t>
      </w:r>
    </w:p>
    <w:p>
      <w:pPr>
        <w:tabs>
          <w:tab w:val="clear" w:pos="960"/>
          <w:tab w:val="clear" w:pos="1920"/>
          <w:tab w:val="clear" w:pos="2880"/>
          <w:tab w:val="clear" w:pos="3840"/>
          <w:tab w:val="clear" w:pos="9096"/>
        </w:tabs>
        <w:ind w:leftChars="100" w:left="240" w:firstLineChars="109" w:firstLine="240"/>
        <w:rPr>
          <w:sz w:val="22"/>
          <w:szCs w:val="22"/>
        </w:rPr>
      </w:pPr>
      <w:r>
        <w:rPr>
          <w:rFonts w:hint="eastAsia"/>
          <w:sz w:val="22"/>
          <w:szCs w:val="22"/>
        </w:rPr>
        <w:t xml:space="preserve">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The Collaborator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(Payment of Consideration for Exercise of Options</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t xml:space="preserve"> If the Collaborator opted for Item 1 of Paragraph 1 of the preceding Article, the Collaborator shall pay JPY [300,000] within [thirty (30) days] from the day on which the Collaborator notified the University of such </w:t>
      </w:r>
      <w:proofErr w:type="gramStart"/>
      <w:r>
        <w:rPr>
          <w:rFonts w:hint="eastAsia"/>
          <w:sz w:val="22"/>
          <w:szCs w:val="22"/>
        </w:rPr>
        <w:t>option</w:t>
      </w:r>
      <w:proofErr w:type="gramEnd"/>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If the Collaborator opted for Item 2 of Paragraph 1 of the preceding Article, the Collaborator shall pay the University royalties of [one (1)] percent of [the net selling price] of the product using the Subject Intellectual Property Rights from the day on which the Collaborator notified the University </w:t>
      </w:r>
      <w:r>
        <w:rPr>
          <w:rFonts w:hint="eastAsia"/>
          <w:sz w:val="22"/>
          <w:szCs w:val="22"/>
        </w:rPr>
        <w:lastRenderedPageBreak/>
        <w:t xml:space="preserve">of such </w:t>
      </w:r>
      <w:proofErr w:type="gramStart"/>
      <w:r>
        <w:rPr>
          <w:rFonts w:hint="eastAsia"/>
          <w:sz w:val="22"/>
          <w:szCs w:val="22"/>
        </w:rPr>
        <w:t>option</w:t>
      </w:r>
      <w:proofErr w:type="gramEnd"/>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  The transfer consideration in the case where the Collaborator acquires the S</w:t>
      </w:r>
      <w:r>
        <w:rPr>
          <w:sz w:val="22"/>
          <w:szCs w:val="22"/>
        </w:rPr>
        <w:t>u</w:t>
      </w:r>
      <w:r>
        <w:rPr>
          <w:rFonts w:hint="eastAsia"/>
          <w:sz w:val="22"/>
          <w:szCs w:val="22"/>
        </w:rPr>
        <w:t xml:space="preserve">bject Intellectual Property Rights pursuant to Item 3 of Paragraph 1 of the preceding Article shall be determined by the University and the Collaborator after </w:t>
      </w:r>
      <w:r>
        <w:rPr>
          <w:sz w:val="22"/>
          <w:szCs w:val="22"/>
        </w:rPr>
        <w:t>mutual</w:t>
      </w:r>
      <w:r>
        <w:rPr>
          <w:rFonts w:hint="eastAsia"/>
          <w:sz w:val="22"/>
          <w:szCs w:val="22"/>
        </w:rPr>
        <w:t xml:space="preserve"> consultations.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University.  The University shall notify the Collaborator the fact that the application was filed, and the contents of the application, within [ten (10)] days from the application.  Provided, however, that if the Collaborator has acquired the Subject Intellectual Property Rights, applications shall be filed </w:t>
      </w:r>
      <w:r>
        <w:rPr>
          <w:sz w:val="22"/>
          <w:szCs w:val="22"/>
        </w:rPr>
        <w:t>solely</w:t>
      </w:r>
      <w:r>
        <w:rPr>
          <w:rFonts w:hint="eastAsia"/>
          <w:sz w:val="22"/>
          <w:szCs w:val="22"/>
        </w:rPr>
        <w:t xml:space="preserv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filed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(Filing of Expenses for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the Applications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I</w:t>
      </w:r>
      <w:r>
        <w:rPr>
          <w:rFonts w:hint="eastAsia"/>
          <w:sz w:val="22"/>
          <w:szCs w:val="22"/>
        </w:rPr>
        <w:t xml:space="preserve">n </w:t>
      </w:r>
      <w:r>
        <w:rPr>
          <w:sz w:val="22"/>
          <w:szCs w:val="22"/>
        </w:rPr>
        <w:t>the</w:t>
      </w:r>
      <w:r>
        <w:rPr>
          <w:rFonts w:hint="eastAsia"/>
          <w:sz w:val="22"/>
          <w:szCs w:val="22"/>
        </w:rPr>
        <w:t xml:space="preserve"> event the Collaborator is non-exclusively implementing the Subject Inventions for the purpose of conducting the Collaborative Research with a license granted by the University, such expenses </w:t>
      </w:r>
      <w:r>
        <w:rPr>
          <w:sz w:val="22"/>
          <w:szCs w:val="22"/>
        </w:rPr>
        <w:t>shall</w:t>
      </w:r>
      <w:r>
        <w:rPr>
          <w:rFonts w:hint="eastAsia"/>
          <w:sz w:val="22"/>
          <w:szCs w:val="22"/>
        </w:rPr>
        <w:t xml:space="preserve"> be borne [(i) by the University /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I</w:t>
      </w:r>
      <w:r>
        <w:rPr>
          <w:rFonts w:hint="eastAsia"/>
          <w:sz w:val="22"/>
          <w:szCs w:val="22"/>
        </w:rPr>
        <w:t>n the event the Collaborator is non-exclusively implementing the Subject Inventions for any purpose other than conducting the Collaborative Research with a license granted by the University, such expenses shall be borne [(i) by the University /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If the Collaborator is exclusively implementing the Subject Inventions with a license granted by the University, </w:t>
      </w:r>
      <w:r>
        <w:rPr>
          <w:sz w:val="22"/>
          <w:szCs w:val="22"/>
        </w:rPr>
        <w:t>the</w:t>
      </w:r>
      <w:r>
        <w:rPr>
          <w:rFonts w:hint="eastAsia"/>
          <w:sz w:val="22"/>
          <w:szCs w:val="22"/>
        </w:rPr>
        <w:t xml:space="preserve"> expenses for the Application, etc., shall be borne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If the Collaborator has acquired the Subject Intellectual Property Rights from the University, such expenses shall be borne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21 (Know-How and </w:t>
      </w:r>
      <w:r>
        <w:rPr>
          <w:b/>
          <w:sz w:val="22"/>
          <w:szCs w:val="22"/>
          <w:highlight w:val="yellow"/>
        </w:rPr>
        <w:t xml:space="preserve">Computer </w:t>
      </w:r>
      <w:proofErr w:type="spellStart"/>
      <w:r>
        <w:rPr>
          <w:b/>
          <w:sz w:val="22"/>
          <w:szCs w:val="22"/>
          <w:highlight w:val="yellow"/>
        </w:rPr>
        <w:t>Program</w:t>
      </w:r>
      <w:proofErr w:type="gramStart"/>
      <w:r>
        <w:rPr>
          <w:b/>
          <w:sz w:val="22"/>
          <w:szCs w:val="22"/>
          <w:highlight w:val="yellow"/>
        </w:rPr>
        <w:t>,</w:t>
      </w:r>
      <w:r>
        <w:rPr>
          <w:rFonts w:hint="eastAsia"/>
          <w:b/>
          <w:sz w:val="22"/>
          <w:szCs w:val="22"/>
          <w:highlight w:val="yellow"/>
        </w:rPr>
        <w:t>Data</w:t>
      </w:r>
      <w:proofErr w:type="spellEnd"/>
      <w:proofErr w:type="gramEnd"/>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w:t>
      </w:r>
      <w:r>
        <w:rPr>
          <w:rFonts w:hint="eastAsia"/>
          <w:sz w:val="22"/>
          <w:szCs w:val="22"/>
        </w:rPr>
        <w:lastRenderedPageBreak/>
        <w:t>through mutual consultations in accordance with the handling of the Subject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With </w:t>
      </w:r>
      <w:r>
        <w:rPr>
          <w:sz w:val="22"/>
          <w:szCs w:val="22"/>
        </w:rPr>
        <w:t>regard</w:t>
      </w:r>
      <w:r>
        <w:rPr>
          <w:rFonts w:hint="eastAsia"/>
          <w:sz w:val="22"/>
          <w:szCs w:val="22"/>
        </w:rPr>
        <w:t xml:space="preserve"> to the Data </w:t>
      </w:r>
      <w:proofErr w:type="gramStart"/>
      <w:r>
        <w:rPr>
          <w:rFonts w:hint="eastAsia"/>
          <w:sz w:val="22"/>
          <w:szCs w:val="22"/>
        </w:rPr>
        <w:t>Provided</w:t>
      </w:r>
      <w:proofErr w:type="gramEnd"/>
      <w:r>
        <w:rPr>
          <w:rFonts w:hint="eastAsia"/>
          <w:sz w:val="22"/>
          <w:szCs w:val="22"/>
        </w:rPr>
        <w:t xml:space="preserve">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rPr>
        <w:t xml:space="preserve">　</w:t>
      </w:r>
      <w:r>
        <w:t xml:space="preserve">Neither the University nor the Collaborator may disclose or divulge to any third party other than the researchers designated in Article 4, any technical and operational information </w:t>
      </w:r>
      <w:r>
        <w:rPr>
          <w:sz w:val="22"/>
          <w:szCs w:val="22"/>
        </w:rPr>
        <w:t>which is disclosed or provided by the other party upon implementation of the Collaborative Research</w:t>
      </w:r>
      <w:r>
        <w:rPr>
          <w:rFonts w:hint="eastAsia"/>
          <w:sz w:val="22"/>
          <w:szCs w:val="22"/>
        </w:rPr>
        <w:t>;</w:t>
      </w:r>
      <w:r>
        <w:rPr>
          <w:sz w:val="22"/>
          <w:szCs w:val="22"/>
        </w:rPr>
        <w:t xml:space="preserve"> and </w:t>
      </w:r>
      <w:r>
        <w:t>is expressly marked as confidential at the time of the provision or disclosure by the other party or which is orally disclosed and is expressly indicated as confidential at the time of the oral disclosure and which is notified by the disclosing party to other party in writing within thirty (30) days from the disclosure (the “</w:t>
      </w:r>
      <w:r>
        <w:rPr>
          <w:b/>
        </w:rPr>
        <w:t>Confidential Information</w:t>
      </w:r>
      <w:r>
        <w:t xml:space="preserve">”).  The University or the Collaborator shall impose to the relevant </w:t>
      </w:r>
      <w:proofErr w:type="gramStart"/>
      <w:r>
        <w:t>researcher,</w:t>
      </w:r>
      <w:proofErr w:type="gramEnd"/>
      <w:r>
        <w:t xml:space="preserve"> an obligation to keep c</w:t>
      </w:r>
      <w:r>
        <w:rPr>
          <w:sz w:val="22"/>
          <w:szCs w:val="22"/>
        </w:rPr>
        <w:t xml:space="preserve">onfidential the Confidential Information even after the relevant researcher </w:t>
      </w:r>
      <w:r>
        <w:rPr>
          <w:rFonts w:hint="eastAsia"/>
          <w:sz w:val="22"/>
          <w:szCs w:val="22"/>
        </w:rPr>
        <w:t xml:space="preserve">has </w:t>
      </w:r>
      <w:r>
        <w:rPr>
          <w:sz w:val="22"/>
          <w:szCs w:val="22"/>
        </w:rPr>
        <w:t>left their work position.  Provided, however, that the above shall not apply to any information which falls under any of the following:</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be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23</w:t>
      </w:r>
      <w:r>
        <w:rPr>
          <w:rFonts w:hint="eastAsia"/>
          <w:b/>
          <w:sz w:val="22"/>
          <w:szCs w:val="22"/>
        </w:rPr>
        <w:t xml:space="preserve">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lastRenderedPageBreak/>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from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Article 2</w:t>
      </w:r>
      <w:r>
        <w:rPr>
          <w:rFonts w:hint="eastAsia"/>
          <w:sz w:val="22"/>
          <w:szCs w:val="22"/>
        </w:rPr>
        <w:t>8</w:t>
      </w:r>
      <w:r>
        <w:rPr>
          <w:sz w:val="22"/>
          <w:szCs w:val="22"/>
        </w:rPr>
        <w:t>, and Article 2</w:t>
      </w:r>
      <w:r>
        <w:rPr>
          <w:rFonts w:hint="eastAsia"/>
          <w:sz w:val="22"/>
          <w:szCs w:val="22"/>
        </w:rPr>
        <w:t>9</w:t>
      </w:r>
      <w:r>
        <w:rPr>
          <w:sz w:val="22"/>
          <w:szCs w:val="22"/>
        </w:rPr>
        <w:t xml:space="preserve">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 </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lastRenderedPageBreak/>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3 (Owned by University/Exclusive License and Transfer Option)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37C3"/>
    <w:multiLevelType w:val="hybridMultilevel"/>
    <w:tmpl w:val="4436290E"/>
    <w:lvl w:ilvl="0" w:tplc="CC30CDA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paragraph" w:styleId="af3">
    <w:name w:val="Revision"/>
    <w:hidden/>
    <w:uiPriority w:val="99"/>
    <w:semiHidden/>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paragraph" w:styleId="af3">
    <w:name w:val="Revision"/>
    <w:hidden/>
    <w:uiPriority w:val="99"/>
    <w:semiHidden/>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7724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806E-21A0-43B6-B817-7388E394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4491</Words>
  <Characters>24719</Characters>
  <Application>Microsoft Office Word</Application>
  <DocSecurity>0</DocSecurity>
  <Lines>205</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類型3</vt:lpstr>
      <vt:lpstr/>
    </vt:vector>
  </TitlesOfParts>
  <Company>AMT</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類型3</dc:title>
  <dc:creator>文部科学省</dc:creator>
  <cp:lastModifiedBy>AMT</cp:lastModifiedBy>
  <cp:revision>8</cp:revision>
  <cp:lastPrinted>2017-02-27T23:53:00Z</cp:lastPrinted>
  <dcterms:created xsi:type="dcterms:W3CDTF">2017-03-29T07:35:00Z</dcterms:created>
  <dcterms:modified xsi:type="dcterms:W3CDTF">2018-04-16T03:43:00Z</dcterms:modified>
</cp:coreProperties>
</file>