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inorEastAsia" w:eastAsiaTheme="minorEastAsia" w:hAnsiTheme="minorEastAsia"/>
          <w:b/>
        </w:rPr>
      </w:pPr>
      <w:bookmarkStart w:id="0" w:name="_GoBack"/>
      <w:r>
        <w:rPr>
          <w:rFonts w:asciiTheme="minorEastAsia" w:eastAsiaTheme="minorEastAsia" w:hAnsiTheme="minorEastAsia" w:hint="eastAsia"/>
          <w:b/>
        </w:rPr>
        <w:t>共 同 研 究 契 約 書（案）</w:t>
      </w:r>
    </w:p>
    <w:bookmarkEnd w:id="0"/>
    <w:p>
      <w:pPr>
        <w:rPr>
          <w:rFonts w:asciiTheme="minorEastAsia" w:eastAsiaTheme="minorEastAsia" w:hAnsiTheme="minorEastAsia"/>
          <w:sz w:val="22"/>
          <w:szCs w:val="22"/>
        </w:rPr>
      </w:pPr>
    </w:p>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121"/>
        <w:gridCol w:w="551"/>
        <w:gridCol w:w="575"/>
        <w:gridCol w:w="913"/>
        <w:gridCol w:w="1440"/>
        <w:gridCol w:w="360"/>
        <w:gridCol w:w="1080"/>
        <w:gridCol w:w="540"/>
        <w:gridCol w:w="1332"/>
      </w:tblGrid>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1．研究題目</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2．研究目的</w:t>
            </w:r>
          </w:p>
        </w:tc>
        <w:tc>
          <w:tcPr>
            <w:tcW w:w="7512" w:type="dxa"/>
            <w:gridSpan w:val="10"/>
          </w:tcPr>
          <w:p>
            <w:pPr>
              <w:rPr>
                <w:rFonts w:asciiTheme="minorEastAsia" w:eastAsiaTheme="minorEastAsia" w:hAnsiTheme="minorEastAsia"/>
                <w:sz w:val="22"/>
                <w:szCs w:val="22"/>
              </w:rPr>
            </w:pPr>
          </w:p>
        </w:tc>
      </w:tr>
      <w:tr>
        <w:trPr>
          <w:cantSplit/>
        </w:trPr>
        <w:tc>
          <w:tcPr>
            <w:tcW w:w="1659"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3．研究内容</w:t>
            </w:r>
          </w:p>
        </w:tc>
        <w:tc>
          <w:tcPr>
            <w:tcW w:w="7512" w:type="dxa"/>
            <w:gridSpan w:val="10"/>
          </w:tcPr>
          <w:p>
            <w:pPr>
              <w:rPr>
                <w:rFonts w:asciiTheme="minorEastAsia" w:eastAsiaTheme="minorEastAsia" w:hAnsiTheme="minorEastAsia"/>
                <w:sz w:val="22"/>
                <w:szCs w:val="22"/>
              </w:rPr>
            </w:pPr>
          </w:p>
        </w:tc>
      </w:tr>
      <w:tr>
        <w:trPr>
          <w:cantSplit/>
        </w:trPr>
        <w:tc>
          <w:tcPr>
            <w:tcW w:w="1659"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4．研究担当者</w:t>
            </w:r>
          </w:p>
        </w:tc>
        <w:tc>
          <w:tcPr>
            <w:tcW w:w="600"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247"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2353" w:type="dxa"/>
            <w:gridSpan w:val="2"/>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所属・職名</w:t>
            </w:r>
          </w:p>
        </w:tc>
        <w:tc>
          <w:tcPr>
            <w:tcW w:w="3312"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本研究における役割</w:t>
            </w:r>
          </w:p>
        </w:tc>
      </w:tr>
      <w:tr>
        <w:trPr>
          <w:cantSplit/>
          <w:trHeight w:val="294"/>
        </w:trPr>
        <w:tc>
          <w:tcPr>
            <w:tcW w:w="1659" w:type="dxa"/>
            <w:vMerge/>
          </w:tcPr>
          <w:p>
            <w:pPr>
              <w:rPr>
                <w:rFonts w:asciiTheme="minorEastAsia" w:eastAsiaTheme="minorEastAsia" w:hAnsiTheme="minorEastAsia"/>
                <w:sz w:val="22"/>
                <w:szCs w:val="22"/>
              </w:rPr>
            </w:pPr>
          </w:p>
        </w:tc>
        <w:tc>
          <w:tcPr>
            <w:tcW w:w="600"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247" w:type="dxa"/>
            <w:gridSpan w:val="3"/>
            <w:vAlign w:val="center"/>
          </w:tcPr>
          <w:p>
            <w:pPr>
              <w:rPr>
                <w:rFonts w:asciiTheme="minorEastAsia" w:eastAsiaTheme="minorEastAsia" w:hAnsiTheme="minorEastAsia"/>
                <w:sz w:val="22"/>
                <w:szCs w:val="22"/>
              </w:rPr>
            </w:pPr>
          </w:p>
        </w:tc>
        <w:tc>
          <w:tcPr>
            <w:tcW w:w="2353" w:type="dxa"/>
            <w:gridSpan w:val="2"/>
            <w:vAlign w:val="center"/>
          </w:tcPr>
          <w:p>
            <w:pPr>
              <w:rPr>
                <w:rFonts w:asciiTheme="minorEastAsia" w:eastAsiaTheme="minorEastAsia" w:hAnsiTheme="minorEastAsia"/>
                <w:sz w:val="22"/>
                <w:szCs w:val="22"/>
              </w:rPr>
            </w:pPr>
          </w:p>
        </w:tc>
        <w:tc>
          <w:tcPr>
            <w:tcW w:w="3312" w:type="dxa"/>
            <w:gridSpan w:val="4"/>
            <w:vAlign w:val="center"/>
          </w:tcPr>
          <w:p>
            <w:pPr>
              <w:rPr>
                <w:rFonts w:asciiTheme="minorEastAsia" w:eastAsiaTheme="minorEastAsia" w:hAnsiTheme="minorEastAsia"/>
                <w:b/>
                <w:bCs/>
                <w:sz w:val="22"/>
                <w:szCs w:val="22"/>
              </w:rPr>
            </w:pPr>
          </w:p>
        </w:tc>
      </w:tr>
      <w:tr>
        <w:trPr>
          <w:cantSplit/>
          <w:trHeight w:val="331"/>
        </w:trPr>
        <w:tc>
          <w:tcPr>
            <w:tcW w:w="1659" w:type="dxa"/>
            <w:vMerge/>
          </w:tcPr>
          <w:p>
            <w:pPr>
              <w:rPr>
                <w:rFonts w:asciiTheme="minorEastAsia" w:eastAsiaTheme="minorEastAsia" w:hAnsiTheme="minorEastAsia"/>
                <w:sz w:val="22"/>
                <w:szCs w:val="22"/>
              </w:rPr>
            </w:pPr>
          </w:p>
        </w:tc>
        <w:tc>
          <w:tcPr>
            <w:tcW w:w="600" w:type="dxa"/>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247" w:type="dxa"/>
            <w:gridSpan w:val="3"/>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2353" w:type="dxa"/>
            <w:gridSpan w:val="2"/>
            <w:vMerge w:val="restart"/>
            <w:vAlign w:val="center"/>
          </w:tcPr>
          <w:p>
            <w:pPr>
              <w:rPr>
                <w:rFonts w:asciiTheme="minorEastAsia" w:eastAsiaTheme="minorEastAsia" w:hAnsiTheme="minorEastAsia"/>
                <w:sz w:val="22"/>
                <w:szCs w:val="22"/>
              </w:rPr>
            </w:pPr>
          </w:p>
          <w:p>
            <w:pPr>
              <w:rPr>
                <w:rFonts w:asciiTheme="minorEastAsia" w:eastAsiaTheme="minorEastAsia" w:hAnsiTheme="minorEastAsia"/>
                <w:sz w:val="22"/>
                <w:szCs w:val="22"/>
              </w:rPr>
            </w:pPr>
          </w:p>
        </w:tc>
        <w:tc>
          <w:tcPr>
            <w:tcW w:w="1440" w:type="dxa"/>
            <w:gridSpan w:val="2"/>
            <w:vMerge w:val="restart"/>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派遣の有無</w:t>
            </w:r>
          </w:p>
        </w:tc>
      </w:tr>
      <w:tr>
        <w:trPr>
          <w:cantSplit/>
          <w:trHeight w:val="314"/>
        </w:trPr>
        <w:tc>
          <w:tcPr>
            <w:tcW w:w="1659" w:type="dxa"/>
            <w:vMerge/>
          </w:tcPr>
          <w:p>
            <w:pPr>
              <w:rPr>
                <w:rFonts w:asciiTheme="minorEastAsia" w:eastAsiaTheme="minorEastAsia" w:hAnsiTheme="minorEastAsia"/>
                <w:sz w:val="22"/>
                <w:szCs w:val="22"/>
              </w:rPr>
            </w:pPr>
          </w:p>
        </w:tc>
        <w:tc>
          <w:tcPr>
            <w:tcW w:w="600" w:type="dxa"/>
            <w:vMerge/>
            <w:vAlign w:val="center"/>
          </w:tcPr>
          <w:p>
            <w:pPr>
              <w:rPr>
                <w:rFonts w:asciiTheme="minorEastAsia" w:eastAsiaTheme="minorEastAsia" w:hAnsiTheme="minorEastAsia"/>
                <w:sz w:val="22"/>
                <w:szCs w:val="22"/>
              </w:rPr>
            </w:pPr>
          </w:p>
        </w:tc>
        <w:tc>
          <w:tcPr>
            <w:tcW w:w="1247" w:type="dxa"/>
            <w:gridSpan w:val="3"/>
            <w:vMerge/>
            <w:vAlign w:val="center"/>
          </w:tcPr>
          <w:p>
            <w:pPr>
              <w:rPr>
                <w:rFonts w:asciiTheme="minorEastAsia" w:eastAsiaTheme="minorEastAsia" w:hAnsiTheme="minorEastAsia"/>
                <w:sz w:val="22"/>
                <w:szCs w:val="22"/>
              </w:rPr>
            </w:pPr>
          </w:p>
        </w:tc>
        <w:tc>
          <w:tcPr>
            <w:tcW w:w="2353" w:type="dxa"/>
            <w:gridSpan w:val="2"/>
            <w:vMerge/>
            <w:vAlign w:val="center"/>
          </w:tcPr>
          <w:p>
            <w:pPr>
              <w:rPr>
                <w:rFonts w:asciiTheme="minorEastAsia" w:eastAsiaTheme="minorEastAsia" w:hAnsiTheme="minorEastAsia"/>
                <w:sz w:val="22"/>
                <w:szCs w:val="22"/>
              </w:rPr>
            </w:pPr>
          </w:p>
        </w:tc>
        <w:tc>
          <w:tcPr>
            <w:tcW w:w="1440" w:type="dxa"/>
            <w:gridSpan w:val="2"/>
            <w:vMerge/>
            <w:vAlign w:val="center"/>
          </w:tcPr>
          <w:p>
            <w:pPr>
              <w:rPr>
                <w:rFonts w:asciiTheme="minorEastAsia" w:eastAsiaTheme="minorEastAsia" w:hAnsiTheme="minorEastAsia"/>
                <w:sz w:val="22"/>
                <w:szCs w:val="22"/>
              </w:rPr>
            </w:pPr>
          </w:p>
        </w:tc>
        <w:tc>
          <w:tcPr>
            <w:tcW w:w="1872" w:type="dxa"/>
            <w:gridSpan w:val="2"/>
            <w:vAlign w:val="center"/>
          </w:tcPr>
          <w:p>
            <w:pPr>
              <w:rPr>
                <w:rFonts w:asciiTheme="minorEastAsia" w:eastAsiaTheme="minorEastAsia" w:hAnsiTheme="minorEastAsia"/>
                <w:sz w:val="22"/>
                <w:szCs w:val="22"/>
              </w:rPr>
            </w:pPr>
          </w:p>
        </w:tc>
      </w:tr>
      <w:tr>
        <w:trPr>
          <w:cantSplit/>
        </w:trPr>
        <w:tc>
          <w:tcPr>
            <w:tcW w:w="2259"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5．研究実施場所</w:t>
            </w:r>
          </w:p>
        </w:tc>
        <w:tc>
          <w:tcPr>
            <w:tcW w:w="6912" w:type="dxa"/>
            <w:gridSpan w:val="9"/>
          </w:tcPr>
          <w:p>
            <w:pPr>
              <w:rPr>
                <w:rFonts w:asciiTheme="minorEastAsia" w:eastAsiaTheme="minorEastAsia" w:hAnsiTheme="minorEastAsia"/>
                <w:sz w:val="22"/>
                <w:szCs w:val="22"/>
              </w:rPr>
            </w:pPr>
          </w:p>
        </w:tc>
      </w:tr>
      <w:tr>
        <w:trPr>
          <w:cantSplit/>
        </w:trPr>
        <w:tc>
          <w:tcPr>
            <w:tcW w:w="2259"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6．研究期間</w:t>
            </w:r>
          </w:p>
        </w:tc>
        <w:tc>
          <w:tcPr>
            <w:tcW w:w="6912" w:type="dxa"/>
            <w:gridSpan w:val="9"/>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　から　平成　　年   月   日　まで</w:t>
            </w:r>
          </w:p>
        </w:tc>
      </w:tr>
      <w:tr>
        <w:trPr>
          <w:cantSplit/>
        </w:trPr>
        <w:tc>
          <w:tcPr>
            <w:tcW w:w="2259"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7．研究経費の負担</w:t>
            </w:r>
          </w:p>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研究費</w:t>
            </w:r>
          </w:p>
        </w:tc>
        <w:tc>
          <w:tcPr>
            <w:tcW w:w="3312" w:type="dxa"/>
            <w:gridSpan w:val="4"/>
            <w:vAlign w:val="center"/>
          </w:tcPr>
          <w:p>
            <w:pPr>
              <w:rPr>
                <w:rFonts w:asciiTheme="minorEastAsia" w:eastAsiaTheme="minorEastAsia" w:hAnsiTheme="minorEastAsia"/>
                <w:sz w:val="22"/>
                <w:szCs w:val="22"/>
              </w:rPr>
            </w:pPr>
          </w:p>
        </w:tc>
      </w:tr>
      <w:tr>
        <w:trPr>
          <w:cantSplit/>
          <w:trHeight w:val="29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29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18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合計</w:t>
            </w:r>
          </w:p>
        </w:tc>
        <w:tc>
          <w:tcPr>
            <w:tcW w:w="2928" w:type="dxa"/>
            <w:gridSpan w:val="3"/>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c>
          <w:tcPr>
            <w:tcW w:w="3312" w:type="dxa"/>
            <w:gridSpan w:val="4"/>
            <w:vAlign w:val="center"/>
          </w:tcPr>
          <w:p>
            <w:pPr>
              <w:rPr>
                <w:rFonts w:asciiTheme="minorEastAsia" w:eastAsiaTheme="minorEastAsia" w:hAnsiTheme="minorEastAsia"/>
                <w:sz w:val="22"/>
                <w:szCs w:val="22"/>
              </w:rPr>
            </w:pPr>
          </w:p>
        </w:tc>
      </w:tr>
      <w:tr>
        <w:trPr>
          <w:cantSplit/>
          <w:trHeight w:val="18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総額</w:t>
            </w:r>
          </w:p>
        </w:tc>
        <w:tc>
          <w:tcPr>
            <w:tcW w:w="6240" w:type="dxa"/>
            <w:gridSpan w:val="7"/>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　　　　　　］円</w:t>
            </w:r>
          </w:p>
        </w:tc>
      </w:tr>
      <w:tr>
        <w:trPr>
          <w:cantSplit/>
          <w:trHeight w:val="278"/>
        </w:trPr>
        <w:tc>
          <w:tcPr>
            <w:tcW w:w="2259"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8．施設及び設備</w:t>
            </w:r>
          </w:p>
        </w:tc>
        <w:tc>
          <w:tcPr>
            <w:tcW w:w="672"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区分</w:t>
            </w:r>
          </w:p>
        </w:tc>
        <w:tc>
          <w:tcPr>
            <w:tcW w:w="1488" w:type="dxa"/>
            <w:gridSpan w:val="2"/>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施設の名称</w:t>
            </w:r>
          </w:p>
        </w:tc>
        <w:tc>
          <w:tcPr>
            <w:tcW w:w="4752" w:type="dxa"/>
            <w:gridSpan w:val="5"/>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設   備</w:t>
            </w:r>
          </w:p>
        </w:tc>
      </w:tr>
      <w:tr>
        <w:trPr>
          <w:cantSplit/>
          <w:trHeight w:val="277"/>
        </w:trPr>
        <w:tc>
          <w:tcPr>
            <w:tcW w:w="2259" w:type="dxa"/>
            <w:gridSpan w:val="2"/>
            <w:vMerge/>
          </w:tcPr>
          <w:p>
            <w:pPr>
              <w:rPr>
                <w:rFonts w:asciiTheme="minorEastAsia" w:eastAsiaTheme="minorEastAsia" w:hAnsiTheme="minorEastAsia"/>
                <w:sz w:val="22"/>
                <w:szCs w:val="22"/>
              </w:rPr>
            </w:pPr>
          </w:p>
        </w:tc>
        <w:tc>
          <w:tcPr>
            <w:tcW w:w="672" w:type="dxa"/>
            <w:gridSpan w:val="2"/>
            <w:vMerge/>
            <w:vAlign w:val="center"/>
          </w:tcPr>
          <w:p>
            <w:pPr>
              <w:rPr>
                <w:rFonts w:asciiTheme="minorEastAsia" w:eastAsiaTheme="minorEastAsia" w:hAnsiTheme="minorEastAsia"/>
                <w:sz w:val="22"/>
                <w:szCs w:val="22"/>
              </w:rPr>
            </w:pPr>
          </w:p>
        </w:tc>
        <w:tc>
          <w:tcPr>
            <w:tcW w:w="1488" w:type="dxa"/>
            <w:gridSpan w:val="2"/>
            <w:vMerge/>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名  称</w:t>
            </w:r>
          </w:p>
        </w:tc>
        <w:tc>
          <w:tcPr>
            <w:tcW w:w="1620"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規 格</w:t>
            </w:r>
          </w:p>
        </w:tc>
        <w:tc>
          <w:tcPr>
            <w:tcW w:w="1332"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数量</w:t>
            </w:r>
          </w:p>
        </w:tc>
      </w:tr>
      <w:tr>
        <w:trPr>
          <w:cantSplit/>
          <w:trHeight w:val="2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Height w:val="20"/>
        </w:trPr>
        <w:tc>
          <w:tcPr>
            <w:tcW w:w="2259" w:type="dxa"/>
            <w:gridSpan w:val="2"/>
            <w:vMerge/>
          </w:tcPr>
          <w:p>
            <w:pPr>
              <w:rPr>
                <w:rFonts w:asciiTheme="minorEastAsia" w:eastAsiaTheme="minorEastAsia" w:hAnsiTheme="minorEastAsia"/>
                <w:sz w:val="22"/>
                <w:szCs w:val="22"/>
              </w:rPr>
            </w:pPr>
          </w:p>
        </w:tc>
        <w:tc>
          <w:tcPr>
            <w:tcW w:w="672" w:type="dxa"/>
            <w:gridSpan w:val="2"/>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488" w:type="dxa"/>
            <w:gridSpan w:val="2"/>
            <w:vAlign w:val="center"/>
          </w:tcPr>
          <w:p>
            <w:pPr>
              <w:rPr>
                <w:rFonts w:asciiTheme="minorEastAsia" w:eastAsiaTheme="minorEastAsia" w:hAnsiTheme="minorEastAsia"/>
                <w:sz w:val="22"/>
                <w:szCs w:val="22"/>
              </w:rPr>
            </w:pPr>
          </w:p>
        </w:tc>
        <w:tc>
          <w:tcPr>
            <w:tcW w:w="1800" w:type="dxa"/>
            <w:gridSpan w:val="2"/>
            <w:vAlign w:val="center"/>
          </w:tcPr>
          <w:p>
            <w:pPr>
              <w:rPr>
                <w:rFonts w:asciiTheme="minorEastAsia" w:eastAsiaTheme="minorEastAsia" w:hAnsiTheme="minorEastAsia"/>
                <w:sz w:val="22"/>
                <w:szCs w:val="22"/>
              </w:rPr>
            </w:pPr>
          </w:p>
        </w:tc>
        <w:tc>
          <w:tcPr>
            <w:tcW w:w="1620" w:type="dxa"/>
            <w:gridSpan w:val="2"/>
            <w:vAlign w:val="center"/>
          </w:tcPr>
          <w:p>
            <w:pPr>
              <w:rPr>
                <w:rFonts w:asciiTheme="minorEastAsia" w:eastAsiaTheme="minorEastAsia" w:hAnsiTheme="minorEastAsia"/>
                <w:sz w:val="22"/>
                <w:szCs w:val="22"/>
              </w:rPr>
            </w:pPr>
          </w:p>
        </w:tc>
        <w:tc>
          <w:tcPr>
            <w:tcW w:w="1332" w:type="dxa"/>
            <w:vAlign w:val="center"/>
          </w:tcPr>
          <w:p>
            <w:pPr>
              <w:rPr>
                <w:rFonts w:asciiTheme="minorEastAsia" w:eastAsiaTheme="minorEastAsia" w:hAnsiTheme="minorEastAsia"/>
                <w:sz w:val="22"/>
                <w:szCs w:val="22"/>
              </w:rPr>
            </w:pP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9．ノウハウの秘匿期間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Pr>
        <w:tc>
          <w:tcPr>
            <w:tcW w:w="2931" w:type="dxa"/>
            <w:gridSpan w:val="4"/>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10．秘密保持義務の有効期間</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本共同研究終了日（研究期間が複数年度にわたる場合は各年度末）の翌日から起算して［　　］年間</w:t>
            </w:r>
          </w:p>
        </w:tc>
      </w:tr>
      <w:tr>
        <w:trPr>
          <w:cantSplit/>
          <w:trHeight w:val="240"/>
        </w:trPr>
        <w:tc>
          <w:tcPr>
            <w:tcW w:w="2380"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11．成果に関する知的財産権の帰属</w:t>
            </w:r>
          </w:p>
        </w:tc>
        <w:tc>
          <w:tcPr>
            <w:tcW w:w="551"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trPr>
          <w:cantSplit/>
          <w:trHeight w:val="360"/>
        </w:trPr>
        <w:tc>
          <w:tcPr>
            <w:tcW w:w="2380" w:type="dxa"/>
            <w:gridSpan w:val="3"/>
            <w:vMerge/>
            <w:vAlign w:val="center"/>
          </w:tcPr>
          <w:p>
            <w:pPr>
              <w:rPr>
                <w:rFonts w:asciiTheme="minorEastAsia" w:eastAsiaTheme="minorEastAsia" w:hAnsiTheme="minorEastAsia"/>
                <w:sz w:val="22"/>
                <w:szCs w:val="22"/>
              </w:rPr>
            </w:pPr>
          </w:p>
        </w:tc>
        <w:tc>
          <w:tcPr>
            <w:tcW w:w="551"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・単独帰属（第13条）</w:t>
            </w:r>
          </w:p>
        </w:tc>
      </w:tr>
      <w:tr>
        <w:trPr>
          <w:cantSplit/>
          <w:trHeight w:val="280"/>
        </w:trPr>
        <w:tc>
          <w:tcPr>
            <w:tcW w:w="2380" w:type="dxa"/>
            <w:gridSpan w:val="3"/>
            <w:vMerge w:val="restart"/>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12．成果に関する権限（実施権、選択権等）</w:t>
            </w:r>
          </w:p>
        </w:tc>
        <w:tc>
          <w:tcPr>
            <w:tcW w:w="551"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・研究目的での無償・非独占的実施（第15条）</w:t>
            </w:r>
          </w:p>
        </w:tc>
      </w:tr>
      <w:tr>
        <w:trPr>
          <w:cantSplit/>
          <w:trHeight w:val="320"/>
        </w:trPr>
        <w:tc>
          <w:tcPr>
            <w:tcW w:w="2380" w:type="dxa"/>
            <w:gridSpan w:val="3"/>
            <w:vMerge/>
            <w:vAlign w:val="center"/>
          </w:tcPr>
          <w:p>
            <w:pPr>
              <w:rPr>
                <w:rFonts w:asciiTheme="minorEastAsia" w:eastAsiaTheme="minorEastAsia" w:hAnsiTheme="minorEastAsia"/>
                <w:sz w:val="22"/>
                <w:szCs w:val="22"/>
              </w:rPr>
            </w:pPr>
          </w:p>
        </w:tc>
        <w:tc>
          <w:tcPr>
            <w:tcW w:w="551" w:type="dxa"/>
            <w:vAlign w:val="center"/>
          </w:tcPr>
          <w:p>
            <w:pP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6240" w:type="dxa"/>
            <w:gridSpan w:val="7"/>
          </w:tcPr>
          <w:p>
            <w:pPr>
              <w:rPr>
                <w:rFonts w:asciiTheme="minorEastAsia" w:eastAsiaTheme="minorEastAsia" w:hAnsiTheme="minorEastAsia"/>
                <w:sz w:val="22"/>
                <w:szCs w:val="22"/>
              </w:rPr>
            </w:pPr>
            <w:r>
              <w:rPr>
                <w:rFonts w:asciiTheme="minorEastAsia" w:eastAsiaTheme="minorEastAsia" w:hAnsiTheme="minorEastAsia" w:hint="eastAsia"/>
                <w:sz w:val="22"/>
                <w:szCs w:val="22"/>
              </w:rPr>
              <w:t>・実施／実施許諾（第14条、第15条）</w:t>
            </w:r>
          </w:p>
        </w:tc>
      </w:tr>
    </w:tbl>
    <w:p>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］大学（以下、「甲」という。）と［　　　　　］（以下、「乙」という。）とは、以下の研究項目に掲げる共同研究（以下、「本共同研究」という。）の実施に関し、以下のとおり契約（以下、「本契約」という。）を締結する。</w:t>
      </w:r>
    </w:p>
    <w:p>
      <w:pPr>
        <w:rPr>
          <w:rFonts w:asciiTheme="minorEastAsia" w:eastAsiaTheme="minorEastAsia" w:hAnsiTheme="minorEastAsia"/>
          <w:sz w:val="22"/>
          <w:szCs w:val="22"/>
        </w:rPr>
      </w:pPr>
      <w:r>
        <w:rPr>
          <w:rFonts w:asciiTheme="minorEastAsia" w:eastAsiaTheme="minorEastAsia" w:hAnsiTheme="minorEastAsia" w:hint="eastAsia"/>
          <w:sz w:val="22"/>
          <w:szCs w:val="22"/>
        </w:rPr>
        <w:t>（契約項目表）</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（以下、余白）</w:t>
      </w:r>
      <w:r>
        <w:rPr>
          <w:rFonts w:asciiTheme="minorEastAsia" w:eastAsiaTheme="minorEastAsia" w:hAnsiTheme="minorEastAsia"/>
          <w:sz w:val="22"/>
          <w:szCs w:val="22"/>
        </w:rPr>
        <w:br w:type="page"/>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第1条（定義）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本契約において、以下の各号に掲げる用語の意味は、当該各号に定めるところによる。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）「知的財産権」とは、以下に掲げるものをいう。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特許法（昭和34年法律第121号）に規定する特許権、実用新案法（昭和34年法律第 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ハ　著作権法（昭和45年法律第48号）に規定するプログラムの著作物及びデータベースの著作物（以下「プログラム等」という。）に係る著作権並びに外国における上記権利に相当する権利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ニ　秘匿することが可能な技術情報であって、かつ、財産的価値のあるものの中から、第21条の規定に基づき特定するもの（以下「ノウハウ」という。）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知的財産権の「実施」とは、特許法第2条第3項に定める行為、実用新案法第2条第3項に定める行為、意匠法第2条第3項に定める行為、商標法第2条第3項に定める行為、半導体集積回路の回路配置に関する法律第2条第3項に定める行為、種苗法第2条第5項に定める行為、著作物のあらゆる利用行為並びにノウハウの使用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7）「本データ」とは、個人情報の保護に関する法律（平成15年法律第57号）2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（8）「各当事者提供データ」とは、本契約締結前から各当事者が利用権限を有し、本共同研究の目的で提供する本データであって、各当事者について別紙[1]に示される。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（9）「本成果データ」とは、本研究の遂行の過程で、又は、これに関して、創出され、取得又は収集される本データであって、別紙[2]に示される。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（10）「利用権限」とは、データを利用、管理、開示、譲渡（利用許諾を含む。）又は処分することのほか、データに係る一切の権限をいう。］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第2条（研究題目等）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甲及び乙は、契約項目表1．ないし3．記載の共同研究（以下「本共同研究」という。）を実施するものとする。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第3条（研究期間）</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本共同研究の研究期間は、契約項目表6．記載の期間とする。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第4条（研究担当者）</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甲及び乙は、それぞれ、契約項目表4．に掲げる者を本共同研究の研究担当者として本共同研究に参加させるものとする。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甲は、乙が希望する場合、乙の研究担当者のうち甲の研究実施場所において本共同研究に従事する者を共同研究員として受け入れるものとする。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甲及び乙は、相手方の同意を得た上で、第1項に定める研究担当者の変更、追加又は削減を行うことができるものとする。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第5条（研究経費の負担及び支払）</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甲は、契約項目表7．記載の研究費、乙は、契約項目表7．記載の研究費［及び研究料］を、それぞれ負担するものとする。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乙は、契約項目表7．記載の研究費［及び研究料］を甲が発行する請求書により、当該請求書に定める支払期限までに支払わなければならない。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乙は所定の支払期限までに研究費［及び研究料］を支払わないときは、支払期日の翌日から支払った日までの日数に応じ、その未払額に年</w:t>
      </w:r>
      <w:r>
        <w:rPr>
          <w:rFonts w:asciiTheme="minorEastAsia" w:eastAsiaTheme="minorEastAsia" w:hAnsiTheme="minorEastAsia"/>
          <w:sz w:val="22"/>
          <w:szCs w:val="22"/>
        </w:rPr>
        <w:t>5</w:t>
      </w:r>
      <w:r>
        <w:rPr>
          <w:rFonts w:asciiTheme="minorEastAsia" w:eastAsiaTheme="minorEastAsia" w:hAnsiTheme="minorEastAsia" w:hint="eastAsia"/>
          <w:sz w:val="22"/>
          <w:szCs w:val="22"/>
        </w:rPr>
        <w:t>％の割合で計算した延滞金を付加して支払わなければならない。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第6条（経理）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前条の研究経費の経理は甲が行う。</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第7条（研究経費により取得した設備等）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契約項目表7．記載の研究経費により取得した設備等は、甲に帰属するものとする。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 w:val="left" w:pos="1515"/>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第8条（施設及び設備の提供等）</w:t>
      </w:r>
    </w:p>
    <w:p>
      <w:pPr>
        <w:tabs>
          <w:tab w:val="clear" w:pos="960"/>
          <w:tab w:val="clear" w:pos="1920"/>
          <w:tab w:val="clear" w:pos="2880"/>
          <w:tab w:val="clear" w:pos="3840"/>
          <w:tab w:val="clear" w:pos="9096"/>
          <w:tab w:val="left" w:pos="1515"/>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甲及び乙は、契約項目表8.に掲げる自己の施設・設備を本共同研究の用に供するものとする。</w:t>
      </w:r>
    </w:p>
    <w:p>
      <w:pPr>
        <w:tabs>
          <w:tab w:val="clear" w:pos="960"/>
          <w:tab w:val="clear" w:pos="1920"/>
          <w:tab w:val="clear" w:pos="2880"/>
          <w:tab w:val="clear" w:pos="3840"/>
          <w:tab w:val="clear" w:pos="9096"/>
          <w:tab w:val="left" w:pos="1515"/>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本共同研究の用に供するため、乙から契約項目表8.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pPr>
        <w:tabs>
          <w:tab w:val="clear" w:pos="960"/>
          <w:tab w:val="clear" w:pos="1920"/>
          <w:tab w:val="clear" w:pos="2880"/>
          <w:tab w:val="clear" w:pos="3840"/>
          <w:tab w:val="clear" w:pos="9096"/>
          <w:tab w:val="left" w:pos="1515"/>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前項に規定する設備の搬入、据付け、撤去及び搬出に要する経費は、乙の負担とする。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第9条（研究の中止又は期間の延長）</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中止又は研究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甲の研究担当者等の退職又は他機関への異動により、本共同研究の実施の継続が困難になったと認められるときは、乙と協議した上で、本共同研究を中止することができる。この場合において、甲は、乙に対し、中止の責めを負わない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甲及び乙は、本共同研究の研究期間の延長により、第5条第2項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共同研究を中止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第10条（研究の終了）</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本共同研究は、以下のいずれかの事由が生じた時点において、終了するものとする。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）契約項目表6．記載の研究期間が満了した場合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）研究期間満了前の共同研究が完了した場合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）第24条により、本契約が解除された場合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）甲及び乙が本共同研究の終了を合意した場合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第11条（研究の中止に伴う研究経費の取扱）</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第９条（研究の中止又は期間の延長）の規定又は本契約の解除により、本共同研究を中止した場合において、第５条の規定により支払われた研究経費の額に不用が生じた場合は、乙は甲に不用となった額の返還を請求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第12条（研究の終了に伴う実績報告書の作成）</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甲及び乙は、双方協力して、本共同研究の実施期間中に得られた本研究成果について報告書を、本共同研究完了の翌日から［　　］日以内にとりまとめるものとする。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13</w:t>
      </w:r>
      <w:r>
        <w:rPr>
          <w:rFonts w:asciiTheme="minorEastAsia" w:eastAsiaTheme="minorEastAsia" w:hAnsiTheme="minorEastAsia" w:hint="eastAsia"/>
          <w:b/>
          <w:sz w:val="22"/>
          <w:szCs w:val="22"/>
          <w:highlight w:val="yellow"/>
        </w:rPr>
        <w:t>条（知的財産権の帰属）</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1　本共同研究に伴い得られた発明等（以下「本発明等」という。）に関する知的財産権（以下「本知的財産権」という。）は、乙に帰属するものとする。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2　甲及び乙は、本知的財産について、それぞれの規則等により、当該発明等を得た研究担当者等から、当該発明等に関する知的財産権の承継を受け、乙に移転するものとする。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14</w:t>
      </w:r>
      <w:r>
        <w:rPr>
          <w:rFonts w:asciiTheme="minorEastAsia" w:eastAsiaTheme="minorEastAsia" w:hAnsiTheme="minorEastAsia" w:hint="eastAsia"/>
          <w:b/>
          <w:sz w:val="22"/>
          <w:szCs w:val="22"/>
          <w:highlight w:val="yellow"/>
        </w:rPr>
        <w:t>条（本発明等の実施）</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乙は、本発明等を自己のために実施することができる。ただし、実施の際には、第19条に定めるノウハウ秘匿義務及び第20条に定める秘密保持義務を遵守するものとする。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15</w:t>
      </w:r>
      <w:r>
        <w:rPr>
          <w:rFonts w:asciiTheme="minorEastAsia" w:eastAsiaTheme="minorEastAsia" w:hAnsiTheme="minorEastAsia" w:hint="eastAsia"/>
          <w:b/>
          <w:sz w:val="22"/>
          <w:szCs w:val="22"/>
          <w:highlight w:val="yellow"/>
        </w:rPr>
        <w:t>条（本発明等の実施許諾）</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乙は、甲に対し、本共同研究その他の研究目的で本発明等を無償で非独占的に実施する権</w:t>
      </w:r>
      <w:r>
        <w:rPr>
          <w:rFonts w:asciiTheme="minorEastAsia" w:eastAsiaTheme="minorEastAsia" w:hAnsiTheme="minorEastAsia" w:hint="eastAsia"/>
          <w:sz w:val="22"/>
          <w:szCs w:val="22"/>
        </w:rPr>
        <w:lastRenderedPageBreak/>
        <w:t>利を許諾する。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乙は、甲以外の第三者に対し、本発明等の実施を許諾することができる。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第16条（知的財産権の出願等）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本知的財産権の出願は、乙が単独で出願するものとする。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w:t>
      </w:r>
      <w:r>
        <w:rPr>
          <w:rFonts w:asciiTheme="minorEastAsia" w:eastAsiaTheme="minorEastAsia" w:hAnsiTheme="minorEastAsia"/>
          <w:b/>
          <w:sz w:val="22"/>
          <w:szCs w:val="22"/>
          <w:highlight w:val="yellow"/>
        </w:rPr>
        <w:t>1</w:t>
      </w:r>
      <w:r>
        <w:rPr>
          <w:rFonts w:asciiTheme="minorEastAsia" w:eastAsiaTheme="minorEastAsia" w:hAnsiTheme="minorEastAsia" w:hint="eastAsia"/>
          <w:b/>
          <w:sz w:val="22"/>
          <w:szCs w:val="22"/>
          <w:highlight w:val="yellow"/>
        </w:rPr>
        <w:t>7条（外国における出願等）</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本知的財産権の外国における出願については、前条に準じるものとする。</w:t>
      </w:r>
      <w:r>
        <w:rPr>
          <w:rFonts w:asciiTheme="minorEastAsia" w:eastAsiaTheme="minorEastAsia" w:hAnsiTheme="minorEastAsia" w:hint="eastAsia"/>
          <w:sz w:val="22"/>
          <w:szCs w:val="22"/>
        </w:rPr>
        <w:tab/>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第18条（出願等費用）</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前2条の出願に関する出願等費用は、乙が負担するものとする。</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第19条（ノウハウ及びプログラム、データ等）</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本共同研究の結果、ノウハウに該当するものが生じた場合は、速やかに相手方に通知し、協議の上、書面にて特定するものとする。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特定されたノウハウは、特定の日から契約項目表9.記載の期間まで、秘密として保持し、相手方の書面による承諾なく、第三者に開示してはならない。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特定されたノウハウ及び本共同研究から生じたプログラム等の取り扱いについては、第13条から第20条に定める本知的財産権の取り扱いに準じ、甲乙別途協議の上決定するものとする。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［4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highlight w:val="yellow"/>
        </w:rPr>
        <w:t>第20条（秘密保持）</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本共同研究の実施に当たり、相手方より開示又は提供を受けた技術上及び営業上の情報のうち、提供又は開示の際に相手方より秘密である旨の表示が明記され、又は口頭で開示されかつ開示に際し秘密である旨明示され開示後</w:t>
      </w:r>
      <w:r>
        <w:rPr>
          <w:rFonts w:asciiTheme="minorEastAsia" w:eastAsiaTheme="minorEastAsia" w:hAnsiTheme="minorEastAsia"/>
          <w:sz w:val="22"/>
          <w:szCs w:val="22"/>
        </w:rPr>
        <w:t>30</w:t>
      </w:r>
      <w:r>
        <w:rPr>
          <w:rFonts w:asciiTheme="minorEastAsia" w:eastAsiaTheme="minorEastAsia" w:hAnsiTheme="minorEastAsia" w:hint="eastAsia"/>
          <w:sz w:val="22"/>
          <w:szCs w:val="22"/>
        </w:rPr>
        <w:t>日以内に書面で相手方に対して通知されたもの（以下「秘密情報」という。）について、第4条に指定する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4</w:t>
      </w:r>
      <w:r>
        <w:rPr>
          <w:rFonts w:asciiTheme="minorEastAsia" w:eastAsiaTheme="minorEastAsia" w:hAnsiTheme="minorEastAsia"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5</w:t>
      </w:r>
      <w:r>
        <w:rPr>
          <w:rFonts w:asciiTheme="minorEastAsia" w:eastAsiaTheme="minorEastAsia" w:hAnsiTheme="minorEastAsia" w:hint="eastAsia"/>
          <w:sz w:val="22"/>
          <w:szCs w:val="22"/>
        </w:rPr>
        <w:t>）相手方から開示又は提供された情報によることなく独自に開発・取得していたことを証</w:t>
      </w:r>
      <w:r>
        <w:rPr>
          <w:rFonts w:asciiTheme="minorEastAsia" w:eastAsiaTheme="minorEastAsia" w:hAnsiTheme="minorEastAsia" w:hint="eastAsia"/>
          <w:sz w:val="22"/>
          <w:szCs w:val="22"/>
        </w:rPr>
        <w:lastRenderedPageBreak/>
        <w:t>明できる情報</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6</w:t>
      </w:r>
      <w:r>
        <w:rPr>
          <w:rFonts w:asciiTheme="minorEastAsia" w:eastAsiaTheme="minorEastAsia" w:hAnsiTheme="minorEastAsia" w:hint="eastAsia"/>
          <w:sz w:val="22"/>
          <w:szCs w:val="22"/>
        </w:rPr>
        <w:t>）書面により事前に相手方の同意を得たもの</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甲及び乙は、秘密情報を本共同研究以外の目的に使用してはならない。ただし、書面により事前に相手方の同意を得た場合はこの限りではない。</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3</w:t>
      </w:r>
      <w:r>
        <w:rPr>
          <w:rFonts w:asciiTheme="minorEastAsia" w:eastAsiaTheme="minorEastAsia" w:hAnsiTheme="minorEastAsia" w:hint="eastAsia"/>
          <w:sz w:val="22"/>
          <w:szCs w:val="22"/>
        </w:rPr>
        <w:t xml:space="preserve">　前</w:t>
      </w:r>
      <w:r>
        <w:rPr>
          <w:rFonts w:asciiTheme="minorEastAsia" w:eastAsiaTheme="minorEastAsia" w:hAnsiTheme="minorEastAsia"/>
          <w:sz w:val="22"/>
          <w:szCs w:val="22"/>
        </w:rPr>
        <w:t>2</w:t>
      </w:r>
      <w:r>
        <w:rPr>
          <w:rFonts w:asciiTheme="minorEastAsia" w:eastAsiaTheme="minorEastAsia" w:hAnsiTheme="minorEastAsia" w:hint="eastAsia"/>
          <w:sz w:val="22"/>
          <w:szCs w:val="22"/>
        </w:rPr>
        <w:t>項の有効期間は、第3条の本共同研究開始の日から契約項目表10.記載の期間までとする。ただし、甲乙協議の上、この期間を延長し、又は短縮することができるものとする。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ind w:left="241" w:hangingChars="109" w:hanging="241"/>
        <w:rPr>
          <w:rFonts w:asciiTheme="minorEastAsia" w:eastAsiaTheme="minorEastAsia" w:hAnsiTheme="minorEastAsia"/>
          <w:sz w:val="22"/>
          <w:szCs w:val="22"/>
        </w:rPr>
      </w:pPr>
      <w:r>
        <w:rPr>
          <w:rFonts w:asciiTheme="minorEastAsia" w:eastAsiaTheme="minorEastAsia" w:hAnsiTheme="minorEastAsia" w:hint="eastAsia"/>
          <w:b/>
          <w:sz w:val="22"/>
          <w:szCs w:val="22"/>
          <w:highlight w:val="yellow"/>
        </w:rPr>
        <w:t>第21条（本研究成果の公表）</w:t>
      </w:r>
      <w:r>
        <w:rPr>
          <w:rFonts w:asciiTheme="minorEastAsia" w:eastAsiaTheme="minorEastAsia" w:hAnsiTheme="minorEastAsia"/>
          <w:sz w:val="22"/>
          <w:szCs w:val="22"/>
        </w:rPr>
        <w:t xml:space="preserve">　</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本研究成果は、公表しないものとする。ただし、甲乙が別途書面で合意した場合は</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この限りではない。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第22条（譲渡禁止）</w:t>
      </w:r>
    </w:p>
    <w:p>
      <w:pPr>
        <w:tabs>
          <w:tab w:val="clear" w:pos="960"/>
          <w:tab w:val="clear" w:pos="1920"/>
          <w:tab w:val="clear" w:pos="2880"/>
          <w:tab w:val="clear" w:pos="3840"/>
          <w:tab w:val="clear" w:pos="9096"/>
        </w:tabs>
        <w:ind w:firstLineChars="109" w:firstLine="240"/>
        <w:rPr>
          <w:rFonts w:asciiTheme="minorEastAsia" w:eastAsiaTheme="minorEastAsia" w:hAnsiTheme="minorEastAsia"/>
          <w:sz w:val="22"/>
          <w:szCs w:val="22"/>
        </w:rPr>
      </w:pPr>
      <w:r>
        <w:rPr>
          <w:rFonts w:asciiTheme="minorEastAsia" w:eastAsiaTheme="minorEastAsia" w:hAnsiTheme="minorEastAsia"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第23条（有効期間）</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本契約の有効期間は、本共同研究の研究期間と同一とする。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本契約の失効後も、第19条、第20条、第26条、第27条の規定は、有効に存続する。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第24条（解除）</w:t>
      </w:r>
      <w:r>
        <w:rPr>
          <w:rFonts w:asciiTheme="minorEastAsia" w:eastAsiaTheme="minorEastAsia" w:hAnsiTheme="minorEastAsia" w:hint="eastAsia"/>
          <w:b/>
          <w:sz w:val="22"/>
          <w:szCs w:val="22"/>
        </w:rPr>
        <w:tab/>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甲及び乙は、次の各号のいずれかに該当し、催告後30日以内にかかる事態が是正されない場合は、直ちに本契約を解除することができるものとする。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）相手方が本契約の締結又は履行に関し、不正又は不当の行為をしたとき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）相手方が本契約に違反したとき</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甲は、乙が次の各号のいずれかに該当したときは、何らの催告を要せず、直ちに本契約を解除することができる。</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1</w:t>
      </w:r>
      <w:r>
        <w:rPr>
          <w:rFonts w:asciiTheme="minorEastAsia" w:eastAsiaTheme="minorEastAsia" w:hAnsiTheme="minorEastAsia" w:hint="eastAsia"/>
          <w:sz w:val="22"/>
          <w:szCs w:val="22"/>
        </w:rPr>
        <w:t>）破産手続、民事再生手続、会社更生手続、特別清算手続の申立てをし、又は申立てを受けた場合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2</w:t>
      </w:r>
      <w:r>
        <w:rPr>
          <w:rFonts w:asciiTheme="minorEastAsia" w:eastAsiaTheme="minorEastAsia" w:hAnsiTheme="minorEastAsia" w:hint="eastAsia"/>
          <w:sz w:val="22"/>
          <w:szCs w:val="22"/>
        </w:rPr>
        <w:t>）銀行取引停止処分を受け、又は支払い停止に陥った場合</w:t>
      </w:r>
    </w:p>
    <w:p>
      <w:pPr>
        <w:tabs>
          <w:tab w:val="clear" w:pos="960"/>
          <w:tab w:val="clear" w:pos="1920"/>
          <w:tab w:val="clear" w:pos="2880"/>
          <w:tab w:val="clear" w:pos="3840"/>
          <w:tab w:val="clear" w:pos="9096"/>
        </w:tabs>
        <w:ind w:left="240" w:hangingChars="109" w:hanging="24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3</w:t>
      </w:r>
      <w:r>
        <w:rPr>
          <w:rFonts w:asciiTheme="minorEastAsia" w:eastAsiaTheme="minorEastAsia" w:hAnsiTheme="minorEastAsia" w:hint="eastAsia"/>
          <w:sz w:val="22"/>
          <w:szCs w:val="22"/>
        </w:rPr>
        <w:t>）仮差押命令を受け、又は公租公課の滞納処分を受けた場合</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第25条（反社会的勢力の排除）</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甲及び乙（法人の場合にあっては、その役員又は使用人を含む。）は、相手方に対し、次の各号の事項を表明し、保証する。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①　自らが、暴力団、暴力団員、暴力団準構成員、暴力団員でなくなったときから</w:t>
      </w:r>
      <w:r>
        <w:rPr>
          <w:rFonts w:asciiTheme="minorEastAsia" w:eastAsiaTheme="minorEastAsia" w:hAnsiTheme="minorEastAsia"/>
          <w:sz w:val="22"/>
          <w:szCs w:val="22"/>
        </w:rPr>
        <w:t>5</w:t>
      </w:r>
      <w:r>
        <w:rPr>
          <w:rFonts w:asciiTheme="minorEastAsia" w:eastAsiaTheme="minorEastAsia" w:hAnsiTheme="minorEastAsia"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②　反社会的勢力に自己の名義を利用させ、本契約を締結する者でないこと。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③　自ら又は第三者を利用して、次の行為をしないこと</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ア　相手方に対する脅迫的な言動又は暴力を用いる行為</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lastRenderedPageBreak/>
        <w:t xml:space="preserve">　　イ　偽計又は威力を用いて相手方の業務を妨害し、又は相手方の信用を毀損する行為</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２　甲又は乙が、次の各号のいずれかに該当した場合は、相手方は、何らの催告なしに本契約を解約することができる。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①　前項①の確約に反する申告をしたことが判明した場合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②　前項②の確約に反し契約をしたことが判明した場合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③　前項③の確約に反する行為をした場合</w:t>
      </w: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sz w:val="22"/>
          <w:szCs w:val="22"/>
        </w:rPr>
        <w:t>３　甲又は乙は、前項により本契約を解約したことにより相手方に損害が生じたとしても、一切の損害賠償義務を負わないものとする。</w:t>
      </w: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第26条（損害賠償）</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甲又は乙は、前条に掲げる事由、又は相手方の故意又は重大な過失により損害等を被ったときは、相手方に対して被った直接損害に限り賠償請求をできるものとする。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b/>
          <w:sz w:val="22"/>
          <w:szCs w:val="22"/>
        </w:rPr>
      </w:pPr>
      <w:r>
        <w:rPr>
          <w:rFonts w:asciiTheme="minorEastAsia" w:eastAsiaTheme="minorEastAsia" w:hAnsiTheme="minorEastAsia" w:hint="eastAsia"/>
          <w:b/>
          <w:sz w:val="22"/>
          <w:szCs w:val="22"/>
        </w:rPr>
        <w:t>第27条（準拠法及び裁判管轄）</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本契約の準拠法は日本法とする。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sz w:val="22"/>
          <w:szCs w:val="22"/>
        </w:rPr>
        <w:t>2</w:t>
      </w:r>
      <w:r>
        <w:rPr>
          <w:rFonts w:asciiTheme="minorEastAsia" w:eastAsiaTheme="minorEastAsia" w:hAnsiTheme="minorEastAsia" w:hint="eastAsia"/>
          <w:sz w:val="22"/>
          <w:szCs w:val="22"/>
        </w:rPr>
        <w:t xml:space="preserve">　本契約に関する紛争については、［　　　］地方裁判所を第一審の専属的合意管轄裁判所とする。</w:t>
      </w: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p>
    <w:p>
      <w:pPr>
        <w:tabs>
          <w:tab w:val="clear" w:pos="960"/>
          <w:tab w:val="clear" w:pos="1920"/>
          <w:tab w:val="clear" w:pos="2880"/>
          <w:tab w:val="clear" w:pos="3840"/>
          <w:tab w:val="clear" w:pos="9096"/>
        </w:tabs>
        <w:rPr>
          <w:rFonts w:asciiTheme="minorEastAsia" w:eastAsiaTheme="minorEastAsia" w:hAnsiTheme="minorEastAsia"/>
          <w:sz w:val="22"/>
          <w:szCs w:val="22"/>
        </w:rPr>
      </w:pPr>
      <w:r>
        <w:rPr>
          <w:rFonts w:asciiTheme="minorEastAsia" w:eastAsiaTheme="minorEastAsia" w:hAnsiTheme="minorEastAsia" w:hint="eastAsia"/>
          <w:sz w:val="22"/>
          <w:szCs w:val="22"/>
        </w:rPr>
        <w:t>この契約の締結を証するため、本契約書</w:t>
      </w:r>
      <w:r>
        <w:rPr>
          <w:rFonts w:asciiTheme="minorEastAsia" w:eastAsiaTheme="minorEastAsia" w:hAnsiTheme="minorEastAsia"/>
          <w:sz w:val="22"/>
          <w:szCs w:val="22"/>
        </w:rPr>
        <w:t>2</w:t>
      </w:r>
      <w:r>
        <w:rPr>
          <w:rFonts w:asciiTheme="minorEastAsia" w:eastAsiaTheme="minorEastAsia" w:hAnsiTheme="minorEastAsia" w:hint="eastAsia"/>
          <w:sz w:val="22"/>
          <w:szCs w:val="22"/>
        </w:rPr>
        <w:t>通を作成し、甲、乙それぞれ</w:t>
      </w:r>
      <w:r>
        <w:rPr>
          <w:rFonts w:asciiTheme="minorEastAsia" w:eastAsiaTheme="minorEastAsia" w:hAnsiTheme="minorEastAsia"/>
          <w:sz w:val="22"/>
          <w:szCs w:val="22"/>
        </w:rPr>
        <w:t>1</w:t>
      </w:r>
      <w:r>
        <w:rPr>
          <w:rFonts w:asciiTheme="minorEastAsia" w:eastAsiaTheme="minorEastAsia" w:hAnsiTheme="minorEastAsia" w:hint="eastAsia"/>
          <w:sz w:val="22"/>
          <w:szCs w:val="22"/>
        </w:rPr>
        <w:t>通を保管するものとする。</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（甲）　［　</w:t>
      </w:r>
      <w:r>
        <w:rPr>
          <w:rFonts w:asciiTheme="minorEastAsia" w:eastAsiaTheme="minorEastAsia" w:hAnsiTheme="minorEastAsia" w:hint="eastAsia"/>
          <w:sz w:val="22"/>
          <w:szCs w:val="22"/>
        </w:rPr>
        <w:tab/>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ab/>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ab/>
        <w:t xml:space="preserve">　　　学　　　長　　　［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（乙）　［　</w:t>
      </w:r>
      <w:r>
        <w:rPr>
          <w:rFonts w:asciiTheme="minorEastAsia" w:eastAsiaTheme="minorEastAsia" w:hAnsiTheme="minorEastAsia" w:hint="eastAsia"/>
          <w:sz w:val="22"/>
          <w:szCs w:val="22"/>
        </w:rPr>
        <w:tab/>
        <w:t>所　在　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ab/>
        <w:t>名　　　称　］</w:t>
      </w:r>
    </w:p>
    <w:p>
      <w:pPr>
        <w:tabs>
          <w:tab w:val="clear" w:pos="960"/>
          <w:tab w:val="clear" w:pos="1920"/>
          <w:tab w:val="clear" w:pos="2880"/>
          <w:tab w:val="clear" w:pos="3840"/>
          <w:tab w:val="clear" w:pos="9096"/>
        </w:tabs>
        <w:ind w:firstLineChars="1997" w:firstLine="4393"/>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代表取締役       ［　　　　　　］</w:t>
      </w:r>
    </w:p>
    <w:p>
      <w:pPr>
        <w:tabs>
          <w:tab w:val="clear" w:pos="960"/>
          <w:tab w:val="clear" w:pos="1920"/>
          <w:tab w:val="clear" w:pos="2880"/>
          <w:tab w:val="clear" w:pos="3840"/>
          <w:tab w:val="clear" w:pos="9096"/>
        </w:tabs>
        <w:rPr>
          <w:rFonts w:asciiTheme="minorEastAsia" w:eastAsiaTheme="minorEastAsia" w:hAnsiTheme="minorEastAsia"/>
          <w:sz w:val="22"/>
          <w:szCs w:val="22"/>
        </w:rPr>
      </w:pPr>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類型６（企業帰属・公表不可）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65B9-A020-42DD-A1BA-D7AA40FD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1070</Words>
  <Characters>6104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類型6</dc:title>
  <dc:creator>文部科学省</dc:creator>
  <cp:lastModifiedBy>AMT</cp:lastModifiedBy>
  <cp:revision>7</cp:revision>
  <cp:lastPrinted>2017-02-16T03:28:00Z</cp:lastPrinted>
  <dcterms:created xsi:type="dcterms:W3CDTF">2017-03-24T06:14:00Z</dcterms:created>
  <dcterms:modified xsi:type="dcterms:W3CDTF">2018-04-16T02:47:00Z</dcterms:modified>
</cp:coreProperties>
</file>