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rPr>
      </w:pPr>
      <w:r>
        <w:rPr>
          <w:rFonts w:hint="eastAsia"/>
          <w:b/>
        </w:rPr>
        <w:t>共</w:t>
      </w:r>
      <w:r>
        <w:rPr>
          <w:rFonts w:hint="eastAsia"/>
          <w:b/>
        </w:rPr>
        <w:t xml:space="preserve"> </w:t>
      </w:r>
      <w:r>
        <w:rPr>
          <w:rFonts w:hint="eastAsia"/>
          <w:b/>
        </w:rPr>
        <w:t>同</w:t>
      </w:r>
      <w:r>
        <w:rPr>
          <w:rFonts w:hint="eastAsia"/>
          <w:b/>
        </w:rPr>
        <w:t xml:space="preserve"> </w:t>
      </w:r>
      <w:r>
        <w:rPr>
          <w:rFonts w:hint="eastAsia"/>
          <w:b/>
        </w:rPr>
        <w:t>研</w:t>
      </w:r>
      <w:r>
        <w:rPr>
          <w:rFonts w:hint="eastAsia"/>
          <w:b/>
        </w:rPr>
        <w:t xml:space="preserve"> </w:t>
      </w:r>
      <w:r>
        <w:rPr>
          <w:rFonts w:hint="eastAsia"/>
          <w:b/>
        </w:rPr>
        <w:t>究</w:t>
      </w:r>
      <w:r>
        <w:rPr>
          <w:rFonts w:hint="eastAsia"/>
          <w:b/>
        </w:rPr>
        <w:t xml:space="preserve"> </w:t>
      </w:r>
      <w:r>
        <w:rPr>
          <w:rFonts w:hint="eastAsia"/>
          <w:b/>
        </w:rPr>
        <w:t>契</w:t>
      </w:r>
      <w:r>
        <w:rPr>
          <w:rFonts w:hint="eastAsia"/>
          <w:b/>
        </w:rPr>
        <w:t xml:space="preserve"> </w:t>
      </w:r>
      <w:r>
        <w:rPr>
          <w:rFonts w:hint="eastAsia"/>
          <w:b/>
        </w:rPr>
        <w:t>約</w:t>
      </w:r>
      <w:r>
        <w:rPr>
          <w:rFonts w:hint="eastAsia"/>
          <w:b/>
        </w:rPr>
        <w:t xml:space="preserve"> </w:t>
      </w:r>
      <w:r>
        <w:rPr>
          <w:rFonts w:hint="eastAsia"/>
          <w:b/>
        </w:rPr>
        <w:t>書（案）</w:t>
      </w:r>
    </w:p>
    <w:p>
      <w:pPr>
        <w:rPr>
          <w:sz w:val="22"/>
          <w:szCs w:val="22"/>
        </w:rPr>
      </w:pPr>
    </w:p>
    <w:tbl>
      <w:tblPr>
        <w:tblpPr w:leftFromText="142" w:rightFromText="142" w:vertAnchor="page" w:horzAnchor="margin" w:tblpY="337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591"/>
        <w:gridCol w:w="9"/>
        <w:gridCol w:w="672"/>
        <w:gridCol w:w="575"/>
        <w:gridCol w:w="913"/>
        <w:gridCol w:w="1440"/>
        <w:gridCol w:w="360"/>
        <w:gridCol w:w="1080"/>
        <w:gridCol w:w="540"/>
        <w:gridCol w:w="1332"/>
      </w:tblGrid>
      <w:tr>
        <w:trPr>
          <w:cantSplit/>
        </w:trPr>
        <w:tc>
          <w:tcPr>
            <w:tcW w:w="1659" w:type="dxa"/>
            <w:vAlign w:val="center"/>
          </w:tcPr>
          <w:p>
            <w:pPr>
              <w:rPr>
                <w:sz w:val="22"/>
                <w:szCs w:val="22"/>
              </w:rPr>
            </w:pPr>
            <w:r>
              <w:rPr>
                <w:rFonts w:hint="eastAsia"/>
                <w:sz w:val="22"/>
                <w:szCs w:val="22"/>
              </w:rPr>
              <w:t>1</w:t>
            </w:r>
            <w:r>
              <w:rPr>
                <w:rFonts w:hint="eastAsia"/>
                <w:sz w:val="22"/>
                <w:szCs w:val="22"/>
              </w:rPr>
              <w:t>．研究題目</w:t>
            </w:r>
          </w:p>
        </w:tc>
        <w:tc>
          <w:tcPr>
            <w:tcW w:w="7512" w:type="dxa"/>
            <w:gridSpan w:val="10"/>
          </w:tcPr>
          <w:p>
            <w:pPr>
              <w:rPr>
                <w:sz w:val="22"/>
                <w:szCs w:val="22"/>
              </w:rPr>
            </w:pPr>
          </w:p>
        </w:tc>
      </w:tr>
      <w:tr>
        <w:trPr>
          <w:cantSplit/>
        </w:trPr>
        <w:tc>
          <w:tcPr>
            <w:tcW w:w="1659" w:type="dxa"/>
            <w:vAlign w:val="center"/>
          </w:tcPr>
          <w:p>
            <w:pPr>
              <w:rPr>
                <w:sz w:val="22"/>
                <w:szCs w:val="22"/>
              </w:rPr>
            </w:pPr>
            <w:r>
              <w:rPr>
                <w:rFonts w:hint="eastAsia"/>
                <w:sz w:val="22"/>
                <w:szCs w:val="22"/>
              </w:rPr>
              <w:t>2</w:t>
            </w:r>
            <w:r>
              <w:rPr>
                <w:rFonts w:hint="eastAsia"/>
                <w:sz w:val="22"/>
                <w:szCs w:val="22"/>
              </w:rPr>
              <w:t>．研究目的</w:t>
            </w:r>
          </w:p>
        </w:tc>
        <w:tc>
          <w:tcPr>
            <w:tcW w:w="7512" w:type="dxa"/>
            <w:gridSpan w:val="10"/>
          </w:tcPr>
          <w:p>
            <w:pPr>
              <w:rPr>
                <w:sz w:val="22"/>
                <w:szCs w:val="22"/>
              </w:rPr>
            </w:pPr>
          </w:p>
        </w:tc>
      </w:tr>
      <w:tr>
        <w:trPr>
          <w:cantSplit/>
        </w:trPr>
        <w:tc>
          <w:tcPr>
            <w:tcW w:w="1659" w:type="dxa"/>
            <w:vAlign w:val="center"/>
          </w:tcPr>
          <w:p>
            <w:pPr>
              <w:rPr>
                <w:sz w:val="22"/>
                <w:szCs w:val="22"/>
              </w:rPr>
            </w:pPr>
            <w:r>
              <w:rPr>
                <w:rFonts w:hint="eastAsia"/>
                <w:sz w:val="22"/>
                <w:szCs w:val="22"/>
              </w:rPr>
              <w:t>3</w:t>
            </w:r>
            <w:r>
              <w:rPr>
                <w:rFonts w:hint="eastAsia"/>
                <w:sz w:val="22"/>
                <w:szCs w:val="22"/>
              </w:rPr>
              <w:t>．研究内容</w:t>
            </w:r>
          </w:p>
        </w:tc>
        <w:tc>
          <w:tcPr>
            <w:tcW w:w="7512" w:type="dxa"/>
            <w:gridSpan w:val="10"/>
          </w:tcPr>
          <w:p>
            <w:pPr>
              <w:rPr>
                <w:sz w:val="22"/>
                <w:szCs w:val="22"/>
              </w:rPr>
            </w:pPr>
          </w:p>
        </w:tc>
      </w:tr>
      <w:tr>
        <w:trPr>
          <w:cantSplit/>
        </w:trPr>
        <w:tc>
          <w:tcPr>
            <w:tcW w:w="1659" w:type="dxa"/>
            <w:vMerge w:val="restart"/>
            <w:vAlign w:val="center"/>
          </w:tcPr>
          <w:p>
            <w:pPr>
              <w:rPr>
                <w:sz w:val="22"/>
                <w:szCs w:val="22"/>
              </w:rPr>
            </w:pPr>
            <w:r>
              <w:rPr>
                <w:rFonts w:hint="eastAsia"/>
                <w:sz w:val="22"/>
                <w:szCs w:val="22"/>
              </w:rPr>
              <w:t>4</w:t>
            </w:r>
            <w:r>
              <w:rPr>
                <w:rFonts w:hint="eastAsia"/>
                <w:sz w:val="22"/>
                <w:szCs w:val="22"/>
              </w:rPr>
              <w:t>．研究担当者</w:t>
            </w:r>
          </w:p>
        </w:tc>
        <w:tc>
          <w:tcPr>
            <w:tcW w:w="600" w:type="dxa"/>
            <w:gridSpan w:val="2"/>
            <w:vAlign w:val="center"/>
          </w:tcPr>
          <w:p>
            <w:pPr>
              <w:rPr>
                <w:sz w:val="22"/>
                <w:szCs w:val="22"/>
              </w:rPr>
            </w:pPr>
            <w:r>
              <w:rPr>
                <w:rFonts w:hint="eastAsia"/>
                <w:sz w:val="22"/>
                <w:szCs w:val="22"/>
              </w:rPr>
              <w:t>区分</w:t>
            </w:r>
          </w:p>
        </w:tc>
        <w:tc>
          <w:tcPr>
            <w:tcW w:w="1247" w:type="dxa"/>
            <w:gridSpan w:val="2"/>
            <w:vAlign w:val="center"/>
          </w:tcPr>
          <w:p>
            <w:pPr>
              <w:rPr>
                <w:sz w:val="22"/>
                <w:szCs w:val="22"/>
              </w:rPr>
            </w:pPr>
            <w:r>
              <w:rPr>
                <w:rFonts w:hint="eastAsia"/>
                <w:sz w:val="22"/>
                <w:szCs w:val="22"/>
              </w:rPr>
              <w:t>氏名</w:t>
            </w:r>
          </w:p>
        </w:tc>
        <w:tc>
          <w:tcPr>
            <w:tcW w:w="2353" w:type="dxa"/>
            <w:gridSpan w:val="2"/>
          </w:tcPr>
          <w:p>
            <w:pPr>
              <w:rPr>
                <w:sz w:val="22"/>
                <w:szCs w:val="22"/>
              </w:rPr>
            </w:pPr>
            <w:r>
              <w:rPr>
                <w:rFonts w:hint="eastAsia"/>
                <w:sz w:val="22"/>
                <w:szCs w:val="22"/>
              </w:rPr>
              <w:t>所属・職名</w:t>
            </w:r>
          </w:p>
        </w:tc>
        <w:tc>
          <w:tcPr>
            <w:tcW w:w="3312" w:type="dxa"/>
            <w:gridSpan w:val="4"/>
            <w:vAlign w:val="center"/>
          </w:tcPr>
          <w:p>
            <w:pPr>
              <w:rPr>
                <w:sz w:val="22"/>
                <w:szCs w:val="22"/>
              </w:rPr>
            </w:pPr>
            <w:r>
              <w:rPr>
                <w:rFonts w:hint="eastAsia"/>
                <w:sz w:val="22"/>
                <w:szCs w:val="22"/>
              </w:rPr>
              <w:t>本研究における役割</w:t>
            </w:r>
          </w:p>
        </w:tc>
      </w:tr>
      <w:tr>
        <w:trPr>
          <w:cantSplit/>
          <w:trHeight w:val="294"/>
        </w:trPr>
        <w:tc>
          <w:tcPr>
            <w:tcW w:w="1659" w:type="dxa"/>
            <w:vMerge/>
          </w:tcPr>
          <w:p>
            <w:pPr>
              <w:rPr>
                <w:sz w:val="22"/>
                <w:szCs w:val="22"/>
              </w:rPr>
            </w:pPr>
          </w:p>
        </w:tc>
        <w:tc>
          <w:tcPr>
            <w:tcW w:w="600" w:type="dxa"/>
            <w:gridSpan w:val="2"/>
            <w:vAlign w:val="center"/>
          </w:tcPr>
          <w:p>
            <w:pPr>
              <w:rPr>
                <w:sz w:val="22"/>
                <w:szCs w:val="22"/>
              </w:rPr>
            </w:pPr>
            <w:r>
              <w:rPr>
                <w:rFonts w:hint="eastAsia"/>
                <w:sz w:val="22"/>
                <w:szCs w:val="22"/>
              </w:rPr>
              <w:t>甲</w:t>
            </w:r>
          </w:p>
        </w:tc>
        <w:tc>
          <w:tcPr>
            <w:tcW w:w="1247" w:type="dxa"/>
            <w:gridSpan w:val="2"/>
            <w:vAlign w:val="center"/>
          </w:tcPr>
          <w:p>
            <w:pPr>
              <w:rPr>
                <w:sz w:val="22"/>
                <w:szCs w:val="22"/>
              </w:rPr>
            </w:pPr>
          </w:p>
        </w:tc>
        <w:tc>
          <w:tcPr>
            <w:tcW w:w="2353" w:type="dxa"/>
            <w:gridSpan w:val="2"/>
            <w:vAlign w:val="center"/>
          </w:tcPr>
          <w:p>
            <w:pPr>
              <w:rPr>
                <w:sz w:val="22"/>
                <w:szCs w:val="22"/>
              </w:rPr>
            </w:pPr>
          </w:p>
        </w:tc>
        <w:tc>
          <w:tcPr>
            <w:tcW w:w="3312" w:type="dxa"/>
            <w:gridSpan w:val="4"/>
            <w:vAlign w:val="center"/>
          </w:tcPr>
          <w:p>
            <w:pPr>
              <w:rPr>
                <w:b/>
                <w:bCs/>
                <w:sz w:val="22"/>
                <w:szCs w:val="22"/>
              </w:rPr>
            </w:pPr>
          </w:p>
        </w:tc>
      </w:tr>
      <w:tr>
        <w:trPr>
          <w:cantSplit/>
          <w:trHeight w:val="331"/>
        </w:trPr>
        <w:tc>
          <w:tcPr>
            <w:tcW w:w="1659" w:type="dxa"/>
            <w:vMerge/>
          </w:tcPr>
          <w:p>
            <w:pPr>
              <w:rPr>
                <w:sz w:val="22"/>
                <w:szCs w:val="22"/>
              </w:rPr>
            </w:pPr>
          </w:p>
        </w:tc>
        <w:tc>
          <w:tcPr>
            <w:tcW w:w="600" w:type="dxa"/>
            <w:gridSpan w:val="2"/>
            <w:vMerge w:val="restart"/>
            <w:vAlign w:val="center"/>
          </w:tcPr>
          <w:p>
            <w:pPr>
              <w:rPr>
                <w:sz w:val="22"/>
                <w:szCs w:val="22"/>
              </w:rPr>
            </w:pPr>
            <w:r>
              <w:rPr>
                <w:rFonts w:hint="eastAsia"/>
                <w:sz w:val="22"/>
                <w:szCs w:val="22"/>
              </w:rPr>
              <w:t>乙</w:t>
            </w:r>
          </w:p>
        </w:tc>
        <w:tc>
          <w:tcPr>
            <w:tcW w:w="1247" w:type="dxa"/>
            <w:gridSpan w:val="2"/>
            <w:vMerge w:val="restart"/>
            <w:vAlign w:val="center"/>
          </w:tcPr>
          <w:p>
            <w:pPr>
              <w:rPr>
                <w:sz w:val="22"/>
                <w:szCs w:val="22"/>
              </w:rPr>
            </w:pPr>
          </w:p>
          <w:p>
            <w:pPr>
              <w:rPr>
                <w:sz w:val="22"/>
                <w:szCs w:val="22"/>
              </w:rPr>
            </w:pPr>
          </w:p>
        </w:tc>
        <w:tc>
          <w:tcPr>
            <w:tcW w:w="2353" w:type="dxa"/>
            <w:gridSpan w:val="2"/>
            <w:vMerge w:val="restart"/>
            <w:vAlign w:val="center"/>
          </w:tcPr>
          <w:p>
            <w:pPr>
              <w:rPr>
                <w:sz w:val="22"/>
                <w:szCs w:val="22"/>
              </w:rPr>
            </w:pPr>
          </w:p>
          <w:p>
            <w:pPr>
              <w:rPr>
                <w:sz w:val="22"/>
                <w:szCs w:val="22"/>
              </w:rPr>
            </w:pPr>
          </w:p>
        </w:tc>
        <w:tc>
          <w:tcPr>
            <w:tcW w:w="1440" w:type="dxa"/>
            <w:gridSpan w:val="2"/>
            <w:vMerge w:val="restart"/>
            <w:vAlign w:val="center"/>
          </w:tcPr>
          <w:p>
            <w:pPr>
              <w:rPr>
                <w:sz w:val="22"/>
                <w:szCs w:val="22"/>
              </w:rPr>
            </w:pPr>
          </w:p>
        </w:tc>
        <w:tc>
          <w:tcPr>
            <w:tcW w:w="1872" w:type="dxa"/>
            <w:gridSpan w:val="2"/>
            <w:vAlign w:val="center"/>
          </w:tcPr>
          <w:p>
            <w:pPr>
              <w:rPr>
                <w:sz w:val="22"/>
                <w:szCs w:val="22"/>
              </w:rPr>
            </w:pPr>
            <w:r>
              <w:rPr>
                <w:rFonts w:hint="eastAsia"/>
                <w:sz w:val="22"/>
                <w:szCs w:val="22"/>
              </w:rPr>
              <w:t>派遣の有無</w:t>
            </w:r>
          </w:p>
        </w:tc>
      </w:tr>
      <w:tr>
        <w:trPr>
          <w:cantSplit/>
          <w:trHeight w:val="314"/>
        </w:trPr>
        <w:tc>
          <w:tcPr>
            <w:tcW w:w="1659" w:type="dxa"/>
            <w:vMerge/>
          </w:tcPr>
          <w:p>
            <w:pPr>
              <w:rPr>
                <w:sz w:val="22"/>
                <w:szCs w:val="22"/>
              </w:rPr>
            </w:pPr>
          </w:p>
        </w:tc>
        <w:tc>
          <w:tcPr>
            <w:tcW w:w="600" w:type="dxa"/>
            <w:gridSpan w:val="2"/>
            <w:vMerge/>
            <w:vAlign w:val="center"/>
          </w:tcPr>
          <w:p>
            <w:pPr>
              <w:rPr>
                <w:sz w:val="22"/>
                <w:szCs w:val="22"/>
              </w:rPr>
            </w:pPr>
          </w:p>
        </w:tc>
        <w:tc>
          <w:tcPr>
            <w:tcW w:w="1247" w:type="dxa"/>
            <w:gridSpan w:val="2"/>
            <w:vMerge/>
            <w:vAlign w:val="center"/>
          </w:tcPr>
          <w:p>
            <w:pPr>
              <w:rPr>
                <w:sz w:val="22"/>
                <w:szCs w:val="22"/>
              </w:rPr>
            </w:pPr>
          </w:p>
        </w:tc>
        <w:tc>
          <w:tcPr>
            <w:tcW w:w="2353" w:type="dxa"/>
            <w:gridSpan w:val="2"/>
            <w:vMerge/>
            <w:vAlign w:val="center"/>
          </w:tcPr>
          <w:p>
            <w:pPr>
              <w:rPr>
                <w:sz w:val="22"/>
                <w:szCs w:val="22"/>
              </w:rPr>
            </w:pPr>
          </w:p>
        </w:tc>
        <w:tc>
          <w:tcPr>
            <w:tcW w:w="1440" w:type="dxa"/>
            <w:gridSpan w:val="2"/>
            <w:vMerge/>
            <w:vAlign w:val="center"/>
          </w:tcPr>
          <w:p>
            <w:pPr>
              <w:rPr>
                <w:sz w:val="22"/>
                <w:szCs w:val="22"/>
              </w:rPr>
            </w:pPr>
          </w:p>
        </w:tc>
        <w:tc>
          <w:tcPr>
            <w:tcW w:w="1872" w:type="dxa"/>
            <w:gridSpan w:val="2"/>
            <w:vAlign w:val="center"/>
          </w:tcPr>
          <w:p>
            <w:pPr>
              <w:rPr>
                <w:sz w:val="22"/>
                <w:szCs w:val="22"/>
              </w:rPr>
            </w:pPr>
          </w:p>
        </w:tc>
      </w:tr>
      <w:tr>
        <w:trPr>
          <w:cantSplit/>
        </w:trPr>
        <w:tc>
          <w:tcPr>
            <w:tcW w:w="2259" w:type="dxa"/>
            <w:gridSpan w:val="3"/>
            <w:vAlign w:val="center"/>
          </w:tcPr>
          <w:p>
            <w:pPr>
              <w:rPr>
                <w:sz w:val="22"/>
                <w:szCs w:val="22"/>
              </w:rPr>
            </w:pPr>
            <w:r>
              <w:rPr>
                <w:rFonts w:hint="eastAsia"/>
                <w:sz w:val="22"/>
                <w:szCs w:val="22"/>
              </w:rPr>
              <w:t>5</w:t>
            </w:r>
            <w:r>
              <w:rPr>
                <w:rFonts w:hint="eastAsia"/>
                <w:sz w:val="22"/>
                <w:szCs w:val="22"/>
              </w:rPr>
              <w:t>．研究実施場所</w:t>
            </w:r>
          </w:p>
        </w:tc>
        <w:tc>
          <w:tcPr>
            <w:tcW w:w="6912" w:type="dxa"/>
            <w:gridSpan w:val="8"/>
          </w:tcPr>
          <w:p>
            <w:pPr>
              <w:rPr>
                <w:sz w:val="22"/>
                <w:szCs w:val="22"/>
              </w:rPr>
            </w:pPr>
          </w:p>
        </w:tc>
      </w:tr>
      <w:tr>
        <w:trPr>
          <w:cantSplit/>
        </w:trPr>
        <w:tc>
          <w:tcPr>
            <w:tcW w:w="2259" w:type="dxa"/>
            <w:gridSpan w:val="3"/>
            <w:vAlign w:val="center"/>
          </w:tcPr>
          <w:p>
            <w:pPr>
              <w:rPr>
                <w:sz w:val="22"/>
                <w:szCs w:val="22"/>
              </w:rPr>
            </w:pPr>
            <w:r>
              <w:rPr>
                <w:rFonts w:hint="eastAsia"/>
                <w:sz w:val="22"/>
                <w:szCs w:val="22"/>
              </w:rPr>
              <w:t>6</w:t>
            </w:r>
            <w:r>
              <w:rPr>
                <w:rFonts w:hint="eastAsia"/>
                <w:sz w:val="22"/>
                <w:szCs w:val="22"/>
              </w:rPr>
              <w:t>．研究期間</w:t>
            </w:r>
          </w:p>
        </w:tc>
        <w:tc>
          <w:tcPr>
            <w:tcW w:w="6912" w:type="dxa"/>
            <w:gridSpan w:val="8"/>
          </w:tcPr>
          <w:p>
            <w:pPr>
              <w:rPr>
                <w:sz w:val="22"/>
                <w:szCs w:val="22"/>
              </w:rPr>
            </w:pPr>
            <w:r>
              <w:rPr>
                <w:rFonts w:hint="eastAsia"/>
                <w:sz w:val="22"/>
                <w:szCs w:val="22"/>
              </w:rPr>
              <w:t xml:space="preserve">平成　　年　</w:t>
            </w:r>
            <w:r>
              <w:rPr>
                <w:rFonts w:hint="eastAsia"/>
                <w:sz w:val="22"/>
                <w:szCs w:val="22"/>
              </w:rPr>
              <w:t xml:space="preserve"> </w:t>
            </w:r>
            <w:r>
              <w:rPr>
                <w:rFonts w:hint="eastAsia"/>
                <w:sz w:val="22"/>
                <w:szCs w:val="22"/>
              </w:rPr>
              <w:t xml:space="preserve">月　</w:t>
            </w:r>
            <w:r>
              <w:rPr>
                <w:rFonts w:hint="eastAsia"/>
                <w:sz w:val="22"/>
                <w:szCs w:val="22"/>
              </w:rPr>
              <w:t xml:space="preserve"> </w:t>
            </w:r>
            <w:r>
              <w:rPr>
                <w:rFonts w:hint="eastAsia"/>
                <w:sz w:val="22"/>
                <w:szCs w:val="22"/>
              </w:rPr>
              <w:t>日　から　平成　　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　まで</w:t>
            </w:r>
          </w:p>
        </w:tc>
      </w:tr>
      <w:tr>
        <w:trPr>
          <w:cantSplit/>
        </w:trPr>
        <w:tc>
          <w:tcPr>
            <w:tcW w:w="2259" w:type="dxa"/>
            <w:gridSpan w:val="3"/>
            <w:vMerge w:val="restart"/>
            <w:vAlign w:val="center"/>
          </w:tcPr>
          <w:p>
            <w:pPr>
              <w:rPr>
                <w:sz w:val="22"/>
                <w:szCs w:val="22"/>
              </w:rPr>
            </w:pPr>
            <w:r>
              <w:rPr>
                <w:rFonts w:hint="eastAsia"/>
                <w:sz w:val="22"/>
                <w:szCs w:val="22"/>
              </w:rPr>
              <w:t>7</w:t>
            </w:r>
            <w:r>
              <w:rPr>
                <w:rFonts w:hint="eastAsia"/>
                <w:sz w:val="22"/>
                <w:szCs w:val="22"/>
              </w:rPr>
              <w:t>．研究経費の負担</w:t>
            </w:r>
          </w:p>
          <w:p>
            <w:pPr>
              <w:rPr>
                <w:sz w:val="22"/>
                <w:szCs w:val="22"/>
              </w:rPr>
            </w:pPr>
          </w:p>
        </w:tc>
        <w:tc>
          <w:tcPr>
            <w:tcW w:w="672" w:type="dxa"/>
            <w:vAlign w:val="center"/>
          </w:tcPr>
          <w:p>
            <w:pPr>
              <w:rPr>
                <w:sz w:val="22"/>
                <w:szCs w:val="22"/>
              </w:rPr>
            </w:pPr>
            <w:r>
              <w:rPr>
                <w:rFonts w:hint="eastAsia"/>
                <w:sz w:val="22"/>
                <w:szCs w:val="22"/>
              </w:rPr>
              <w:t>区分</w:t>
            </w:r>
          </w:p>
        </w:tc>
        <w:tc>
          <w:tcPr>
            <w:tcW w:w="2928" w:type="dxa"/>
            <w:gridSpan w:val="3"/>
            <w:vAlign w:val="center"/>
          </w:tcPr>
          <w:p>
            <w:pPr>
              <w:rPr>
                <w:sz w:val="22"/>
                <w:szCs w:val="22"/>
              </w:rPr>
            </w:pPr>
            <w:r>
              <w:rPr>
                <w:rFonts w:hint="eastAsia"/>
                <w:sz w:val="22"/>
                <w:szCs w:val="22"/>
              </w:rPr>
              <w:t>研究費</w:t>
            </w:r>
          </w:p>
        </w:tc>
        <w:tc>
          <w:tcPr>
            <w:tcW w:w="3312" w:type="dxa"/>
            <w:gridSpan w:val="4"/>
            <w:vAlign w:val="center"/>
          </w:tcPr>
          <w:p>
            <w:pPr>
              <w:rPr>
                <w:sz w:val="22"/>
                <w:szCs w:val="22"/>
              </w:rPr>
            </w:pPr>
          </w:p>
        </w:tc>
      </w:tr>
      <w:tr>
        <w:trPr>
          <w:cantSplit/>
          <w:trHeight w:val="290"/>
        </w:trPr>
        <w:tc>
          <w:tcPr>
            <w:tcW w:w="2259" w:type="dxa"/>
            <w:gridSpan w:val="3"/>
            <w:vMerge/>
          </w:tcPr>
          <w:p>
            <w:pPr>
              <w:rPr>
                <w:sz w:val="22"/>
                <w:szCs w:val="22"/>
              </w:rPr>
            </w:pPr>
          </w:p>
        </w:tc>
        <w:tc>
          <w:tcPr>
            <w:tcW w:w="672" w:type="dxa"/>
            <w:vAlign w:val="center"/>
          </w:tcPr>
          <w:p>
            <w:pPr>
              <w:rPr>
                <w:sz w:val="22"/>
                <w:szCs w:val="22"/>
              </w:rPr>
            </w:pPr>
            <w:r>
              <w:rPr>
                <w:rFonts w:hint="eastAsia"/>
                <w:sz w:val="22"/>
                <w:szCs w:val="22"/>
              </w:rPr>
              <w:t>甲</w:t>
            </w:r>
          </w:p>
        </w:tc>
        <w:tc>
          <w:tcPr>
            <w:tcW w:w="2928" w:type="dxa"/>
            <w:gridSpan w:val="3"/>
            <w:vAlign w:val="center"/>
          </w:tcPr>
          <w:p>
            <w:pPr>
              <w:rPr>
                <w:sz w:val="22"/>
                <w:szCs w:val="22"/>
              </w:rPr>
            </w:pPr>
            <w:r>
              <w:rPr>
                <w:rFonts w:hint="eastAsia"/>
                <w:sz w:val="22"/>
                <w:szCs w:val="22"/>
              </w:rPr>
              <w:t>［　　　　　　］円</w:t>
            </w:r>
          </w:p>
        </w:tc>
        <w:tc>
          <w:tcPr>
            <w:tcW w:w="3312" w:type="dxa"/>
            <w:gridSpan w:val="4"/>
            <w:vAlign w:val="center"/>
          </w:tcPr>
          <w:p>
            <w:pPr>
              <w:rPr>
                <w:sz w:val="22"/>
                <w:szCs w:val="22"/>
              </w:rPr>
            </w:pPr>
          </w:p>
        </w:tc>
      </w:tr>
      <w:tr>
        <w:trPr>
          <w:cantSplit/>
          <w:trHeight w:val="290"/>
        </w:trPr>
        <w:tc>
          <w:tcPr>
            <w:tcW w:w="2259" w:type="dxa"/>
            <w:gridSpan w:val="3"/>
            <w:vMerge/>
          </w:tcPr>
          <w:p>
            <w:pPr>
              <w:rPr>
                <w:sz w:val="22"/>
                <w:szCs w:val="22"/>
              </w:rPr>
            </w:pPr>
          </w:p>
        </w:tc>
        <w:tc>
          <w:tcPr>
            <w:tcW w:w="672" w:type="dxa"/>
            <w:vAlign w:val="center"/>
          </w:tcPr>
          <w:p>
            <w:pPr>
              <w:rPr>
                <w:sz w:val="22"/>
                <w:szCs w:val="22"/>
              </w:rPr>
            </w:pPr>
            <w:r>
              <w:rPr>
                <w:rFonts w:hint="eastAsia"/>
                <w:sz w:val="22"/>
                <w:szCs w:val="22"/>
              </w:rPr>
              <w:t>乙</w:t>
            </w:r>
          </w:p>
        </w:tc>
        <w:tc>
          <w:tcPr>
            <w:tcW w:w="2928" w:type="dxa"/>
            <w:gridSpan w:val="3"/>
            <w:vAlign w:val="center"/>
          </w:tcPr>
          <w:p>
            <w:pPr>
              <w:rPr>
                <w:sz w:val="22"/>
                <w:szCs w:val="22"/>
              </w:rPr>
            </w:pPr>
            <w:r>
              <w:rPr>
                <w:rFonts w:hint="eastAsia"/>
                <w:sz w:val="22"/>
                <w:szCs w:val="22"/>
              </w:rPr>
              <w:t>［　　　　　　］円</w:t>
            </w:r>
          </w:p>
        </w:tc>
        <w:tc>
          <w:tcPr>
            <w:tcW w:w="3312" w:type="dxa"/>
            <w:gridSpan w:val="4"/>
            <w:vAlign w:val="center"/>
          </w:tcPr>
          <w:p>
            <w:pPr>
              <w:rPr>
                <w:sz w:val="22"/>
                <w:szCs w:val="22"/>
              </w:rPr>
            </w:pPr>
          </w:p>
        </w:tc>
      </w:tr>
      <w:tr>
        <w:trPr>
          <w:cantSplit/>
          <w:trHeight w:val="180"/>
        </w:trPr>
        <w:tc>
          <w:tcPr>
            <w:tcW w:w="2259" w:type="dxa"/>
            <w:gridSpan w:val="3"/>
            <w:vMerge/>
          </w:tcPr>
          <w:p>
            <w:pPr>
              <w:rPr>
                <w:sz w:val="22"/>
                <w:szCs w:val="22"/>
              </w:rPr>
            </w:pPr>
          </w:p>
        </w:tc>
        <w:tc>
          <w:tcPr>
            <w:tcW w:w="672" w:type="dxa"/>
            <w:vAlign w:val="center"/>
          </w:tcPr>
          <w:p>
            <w:pPr>
              <w:rPr>
                <w:sz w:val="22"/>
                <w:szCs w:val="22"/>
              </w:rPr>
            </w:pPr>
            <w:r>
              <w:rPr>
                <w:rFonts w:hint="eastAsia"/>
                <w:sz w:val="22"/>
                <w:szCs w:val="22"/>
              </w:rPr>
              <w:t>合計</w:t>
            </w:r>
          </w:p>
        </w:tc>
        <w:tc>
          <w:tcPr>
            <w:tcW w:w="2928" w:type="dxa"/>
            <w:gridSpan w:val="3"/>
            <w:vAlign w:val="center"/>
          </w:tcPr>
          <w:p>
            <w:pPr>
              <w:rPr>
                <w:sz w:val="22"/>
                <w:szCs w:val="22"/>
              </w:rPr>
            </w:pPr>
            <w:r>
              <w:rPr>
                <w:rFonts w:hint="eastAsia"/>
                <w:sz w:val="22"/>
                <w:szCs w:val="22"/>
              </w:rPr>
              <w:t>［　　　　　　］円</w:t>
            </w:r>
          </w:p>
        </w:tc>
        <w:tc>
          <w:tcPr>
            <w:tcW w:w="3312" w:type="dxa"/>
            <w:gridSpan w:val="4"/>
            <w:vAlign w:val="center"/>
          </w:tcPr>
          <w:p>
            <w:pPr>
              <w:rPr>
                <w:sz w:val="22"/>
                <w:szCs w:val="22"/>
              </w:rPr>
            </w:pPr>
          </w:p>
        </w:tc>
      </w:tr>
      <w:tr>
        <w:trPr>
          <w:cantSplit/>
          <w:trHeight w:val="180"/>
        </w:trPr>
        <w:tc>
          <w:tcPr>
            <w:tcW w:w="2259" w:type="dxa"/>
            <w:gridSpan w:val="3"/>
            <w:vMerge/>
          </w:tcPr>
          <w:p>
            <w:pPr>
              <w:rPr>
                <w:sz w:val="22"/>
                <w:szCs w:val="22"/>
              </w:rPr>
            </w:pPr>
          </w:p>
        </w:tc>
        <w:tc>
          <w:tcPr>
            <w:tcW w:w="672" w:type="dxa"/>
            <w:vAlign w:val="center"/>
          </w:tcPr>
          <w:p>
            <w:pPr>
              <w:rPr>
                <w:sz w:val="22"/>
                <w:szCs w:val="22"/>
              </w:rPr>
            </w:pPr>
            <w:r>
              <w:rPr>
                <w:rFonts w:hint="eastAsia"/>
                <w:sz w:val="22"/>
                <w:szCs w:val="22"/>
              </w:rPr>
              <w:t>総額</w:t>
            </w:r>
          </w:p>
        </w:tc>
        <w:tc>
          <w:tcPr>
            <w:tcW w:w="6240" w:type="dxa"/>
            <w:gridSpan w:val="7"/>
            <w:vAlign w:val="center"/>
          </w:tcPr>
          <w:p>
            <w:pPr>
              <w:rPr>
                <w:sz w:val="22"/>
                <w:szCs w:val="22"/>
              </w:rPr>
            </w:pPr>
            <w:r>
              <w:rPr>
                <w:rFonts w:hint="eastAsia"/>
                <w:sz w:val="22"/>
                <w:szCs w:val="22"/>
              </w:rPr>
              <w:t>［　　　　　　］円</w:t>
            </w:r>
          </w:p>
        </w:tc>
      </w:tr>
      <w:tr>
        <w:trPr>
          <w:cantSplit/>
          <w:trHeight w:val="278"/>
        </w:trPr>
        <w:tc>
          <w:tcPr>
            <w:tcW w:w="2259" w:type="dxa"/>
            <w:gridSpan w:val="3"/>
            <w:vMerge w:val="restart"/>
            <w:vAlign w:val="center"/>
          </w:tcPr>
          <w:p>
            <w:pPr>
              <w:rPr>
                <w:sz w:val="22"/>
                <w:szCs w:val="22"/>
              </w:rPr>
            </w:pPr>
            <w:r>
              <w:rPr>
                <w:rFonts w:hint="eastAsia"/>
                <w:sz w:val="22"/>
                <w:szCs w:val="22"/>
              </w:rPr>
              <w:t>8</w:t>
            </w:r>
            <w:r>
              <w:rPr>
                <w:rFonts w:hint="eastAsia"/>
                <w:sz w:val="22"/>
                <w:szCs w:val="22"/>
              </w:rPr>
              <w:t>．施設及び設備</w:t>
            </w:r>
          </w:p>
        </w:tc>
        <w:tc>
          <w:tcPr>
            <w:tcW w:w="672" w:type="dxa"/>
            <w:vMerge w:val="restart"/>
            <w:vAlign w:val="center"/>
          </w:tcPr>
          <w:p>
            <w:pPr>
              <w:rPr>
                <w:sz w:val="22"/>
                <w:szCs w:val="22"/>
              </w:rPr>
            </w:pPr>
            <w:r>
              <w:rPr>
                <w:rFonts w:hint="eastAsia"/>
                <w:sz w:val="22"/>
                <w:szCs w:val="22"/>
              </w:rPr>
              <w:t>区分</w:t>
            </w:r>
          </w:p>
        </w:tc>
        <w:tc>
          <w:tcPr>
            <w:tcW w:w="1488" w:type="dxa"/>
            <w:gridSpan w:val="2"/>
            <w:vMerge w:val="restart"/>
            <w:vAlign w:val="center"/>
          </w:tcPr>
          <w:p>
            <w:pPr>
              <w:rPr>
                <w:sz w:val="22"/>
                <w:szCs w:val="22"/>
              </w:rPr>
            </w:pPr>
            <w:r>
              <w:rPr>
                <w:rFonts w:hint="eastAsia"/>
                <w:sz w:val="22"/>
                <w:szCs w:val="22"/>
              </w:rPr>
              <w:t>施設の名称</w:t>
            </w:r>
          </w:p>
        </w:tc>
        <w:tc>
          <w:tcPr>
            <w:tcW w:w="4752" w:type="dxa"/>
            <w:gridSpan w:val="5"/>
            <w:vAlign w:val="center"/>
          </w:tcPr>
          <w:p>
            <w:pPr>
              <w:rPr>
                <w:sz w:val="22"/>
                <w:szCs w:val="22"/>
              </w:rPr>
            </w:pPr>
            <w:r>
              <w:rPr>
                <w:rFonts w:hint="eastAsia"/>
                <w:sz w:val="22"/>
                <w:szCs w:val="22"/>
              </w:rPr>
              <w:t>設</w:t>
            </w:r>
            <w:r>
              <w:rPr>
                <w:rFonts w:hint="eastAsia"/>
                <w:sz w:val="22"/>
                <w:szCs w:val="22"/>
              </w:rPr>
              <w:t xml:space="preserve">   </w:t>
            </w:r>
            <w:r>
              <w:rPr>
                <w:rFonts w:hint="eastAsia"/>
                <w:sz w:val="22"/>
                <w:szCs w:val="22"/>
              </w:rPr>
              <w:t>備</w:t>
            </w:r>
          </w:p>
        </w:tc>
      </w:tr>
      <w:tr>
        <w:trPr>
          <w:cantSplit/>
          <w:trHeight w:val="277"/>
        </w:trPr>
        <w:tc>
          <w:tcPr>
            <w:tcW w:w="2259" w:type="dxa"/>
            <w:gridSpan w:val="3"/>
            <w:vMerge/>
          </w:tcPr>
          <w:p>
            <w:pPr>
              <w:rPr>
                <w:sz w:val="22"/>
                <w:szCs w:val="22"/>
              </w:rPr>
            </w:pPr>
          </w:p>
        </w:tc>
        <w:tc>
          <w:tcPr>
            <w:tcW w:w="672" w:type="dxa"/>
            <w:vMerge/>
            <w:vAlign w:val="center"/>
          </w:tcPr>
          <w:p>
            <w:pPr>
              <w:rPr>
                <w:sz w:val="22"/>
                <w:szCs w:val="22"/>
              </w:rPr>
            </w:pPr>
          </w:p>
        </w:tc>
        <w:tc>
          <w:tcPr>
            <w:tcW w:w="1488" w:type="dxa"/>
            <w:gridSpan w:val="2"/>
            <w:vMerge/>
            <w:vAlign w:val="center"/>
          </w:tcPr>
          <w:p>
            <w:pPr>
              <w:rPr>
                <w:sz w:val="22"/>
                <w:szCs w:val="22"/>
              </w:rPr>
            </w:pPr>
          </w:p>
        </w:tc>
        <w:tc>
          <w:tcPr>
            <w:tcW w:w="1800" w:type="dxa"/>
            <w:gridSpan w:val="2"/>
            <w:vAlign w:val="center"/>
          </w:tcPr>
          <w:p>
            <w:pPr>
              <w:rPr>
                <w:sz w:val="22"/>
                <w:szCs w:val="22"/>
              </w:rPr>
            </w:pPr>
            <w:r>
              <w:rPr>
                <w:rFonts w:hint="eastAsia"/>
                <w:sz w:val="22"/>
                <w:szCs w:val="22"/>
              </w:rPr>
              <w:t>名</w:t>
            </w:r>
            <w:r>
              <w:rPr>
                <w:rFonts w:hint="eastAsia"/>
                <w:sz w:val="22"/>
                <w:szCs w:val="22"/>
              </w:rPr>
              <w:t xml:space="preserve">  </w:t>
            </w:r>
            <w:r>
              <w:rPr>
                <w:rFonts w:hint="eastAsia"/>
                <w:sz w:val="22"/>
                <w:szCs w:val="22"/>
              </w:rPr>
              <w:t>称</w:t>
            </w:r>
          </w:p>
        </w:tc>
        <w:tc>
          <w:tcPr>
            <w:tcW w:w="1620" w:type="dxa"/>
            <w:gridSpan w:val="2"/>
            <w:vAlign w:val="center"/>
          </w:tcPr>
          <w:p>
            <w:pPr>
              <w:rPr>
                <w:sz w:val="22"/>
                <w:szCs w:val="22"/>
              </w:rPr>
            </w:pPr>
            <w:r>
              <w:rPr>
                <w:rFonts w:hint="eastAsia"/>
                <w:sz w:val="22"/>
                <w:szCs w:val="22"/>
              </w:rPr>
              <w:t>規</w:t>
            </w:r>
            <w:r>
              <w:rPr>
                <w:rFonts w:hint="eastAsia"/>
                <w:sz w:val="22"/>
                <w:szCs w:val="22"/>
              </w:rPr>
              <w:t xml:space="preserve"> </w:t>
            </w:r>
            <w:r>
              <w:rPr>
                <w:rFonts w:hint="eastAsia"/>
                <w:sz w:val="22"/>
                <w:szCs w:val="22"/>
              </w:rPr>
              <w:t>格</w:t>
            </w:r>
          </w:p>
        </w:tc>
        <w:tc>
          <w:tcPr>
            <w:tcW w:w="1332" w:type="dxa"/>
            <w:vAlign w:val="center"/>
          </w:tcPr>
          <w:p>
            <w:pPr>
              <w:rPr>
                <w:sz w:val="22"/>
                <w:szCs w:val="22"/>
              </w:rPr>
            </w:pPr>
            <w:r>
              <w:rPr>
                <w:rFonts w:hint="eastAsia"/>
                <w:sz w:val="22"/>
                <w:szCs w:val="22"/>
              </w:rPr>
              <w:t>数量</w:t>
            </w:r>
          </w:p>
        </w:tc>
      </w:tr>
      <w:tr>
        <w:trPr>
          <w:cantSplit/>
          <w:trHeight w:val="20"/>
        </w:trPr>
        <w:tc>
          <w:tcPr>
            <w:tcW w:w="2259" w:type="dxa"/>
            <w:gridSpan w:val="3"/>
            <w:vMerge/>
          </w:tcPr>
          <w:p>
            <w:pPr>
              <w:rPr>
                <w:sz w:val="22"/>
                <w:szCs w:val="22"/>
              </w:rPr>
            </w:pPr>
          </w:p>
        </w:tc>
        <w:tc>
          <w:tcPr>
            <w:tcW w:w="672" w:type="dxa"/>
            <w:vAlign w:val="center"/>
          </w:tcPr>
          <w:p>
            <w:pPr>
              <w:rPr>
                <w:sz w:val="22"/>
                <w:szCs w:val="22"/>
              </w:rPr>
            </w:pPr>
            <w:r>
              <w:rPr>
                <w:rFonts w:hint="eastAsia"/>
                <w:sz w:val="22"/>
                <w:szCs w:val="22"/>
              </w:rPr>
              <w:t>甲</w:t>
            </w:r>
          </w:p>
        </w:tc>
        <w:tc>
          <w:tcPr>
            <w:tcW w:w="1488" w:type="dxa"/>
            <w:gridSpan w:val="2"/>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Height w:val="20"/>
        </w:trPr>
        <w:tc>
          <w:tcPr>
            <w:tcW w:w="2259" w:type="dxa"/>
            <w:gridSpan w:val="3"/>
            <w:vMerge/>
          </w:tcPr>
          <w:p>
            <w:pPr>
              <w:rPr>
                <w:sz w:val="22"/>
                <w:szCs w:val="22"/>
              </w:rPr>
            </w:pPr>
          </w:p>
        </w:tc>
        <w:tc>
          <w:tcPr>
            <w:tcW w:w="672" w:type="dxa"/>
            <w:vAlign w:val="center"/>
          </w:tcPr>
          <w:p>
            <w:pPr>
              <w:rPr>
                <w:sz w:val="22"/>
                <w:szCs w:val="22"/>
              </w:rPr>
            </w:pPr>
            <w:r>
              <w:rPr>
                <w:rFonts w:hint="eastAsia"/>
                <w:sz w:val="22"/>
                <w:szCs w:val="22"/>
              </w:rPr>
              <w:t>乙</w:t>
            </w:r>
          </w:p>
        </w:tc>
        <w:tc>
          <w:tcPr>
            <w:tcW w:w="1488" w:type="dxa"/>
            <w:gridSpan w:val="2"/>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Pr>
        <w:tc>
          <w:tcPr>
            <w:tcW w:w="2931" w:type="dxa"/>
            <w:gridSpan w:val="4"/>
            <w:vAlign w:val="center"/>
          </w:tcPr>
          <w:p>
            <w:pPr>
              <w:rPr>
                <w:sz w:val="22"/>
                <w:szCs w:val="22"/>
              </w:rPr>
            </w:pPr>
            <w:r>
              <w:rPr>
                <w:rFonts w:hint="eastAsia"/>
                <w:sz w:val="22"/>
                <w:szCs w:val="22"/>
              </w:rPr>
              <w:t>9</w:t>
            </w:r>
            <w:r>
              <w:rPr>
                <w:rFonts w:hint="eastAsia"/>
                <w:sz w:val="22"/>
                <w:szCs w:val="22"/>
              </w:rPr>
              <w:t>．ノウハウの秘匿期間</w:t>
            </w:r>
          </w:p>
        </w:tc>
        <w:tc>
          <w:tcPr>
            <w:tcW w:w="6240" w:type="dxa"/>
            <w:gridSpan w:val="7"/>
          </w:tcPr>
          <w:p>
            <w:pPr>
              <w:rPr>
                <w:sz w:val="22"/>
                <w:szCs w:val="22"/>
              </w:rPr>
            </w:pPr>
            <w:r>
              <w:rPr>
                <w:rFonts w:hint="eastAsia"/>
                <w:sz w:val="22"/>
                <w:szCs w:val="22"/>
              </w:rPr>
              <w:t>本共同研究終了日（研究期間が複数年度にわたる場合は各年度末）の翌日から起算して［　　］年間</w:t>
            </w:r>
          </w:p>
        </w:tc>
      </w:tr>
      <w:tr>
        <w:trPr>
          <w:cantSplit/>
        </w:trPr>
        <w:tc>
          <w:tcPr>
            <w:tcW w:w="2931" w:type="dxa"/>
            <w:gridSpan w:val="4"/>
            <w:vAlign w:val="center"/>
          </w:tcPr>
          <w:p>
            <w:pPr>
              <w:rPr>
                <w:sz w:val="22"/>
                <w:szCs w:val="22"/>
              </w:rPr>
            </w:pPr>
            <w:r>
              <w:rPr>
                <w:rFonts w:hint="eastAsia"/>
                <w:sz w:val="22"/>
                <w:szCs w:val="22"/>
              </w:rPr>
              <w:t>10</w:t>
            </w:r>
            <w:r>
              <w:rPr>
                <w:rFonts w:hint="eastAsia"/>
                <w:sz w:val="22"/>
                <w:szCs w:val="22"/>
              </w:rPr>
              <w:t>．秘密保持義務の有効期間</w:t>
            </w:r>
          </w:p>
        </w:tc>
        <w:tc>
          <w:tcPr>
            <w:tcW w:w="6240" w:type="dxa"/>
            <w:gridSpan w:val="7"/>
          </w:tcPr>
          <w:p>
            <w:pPr>
              <w:rPr>
                <w:sz w:val="22"/>
                <w:szCs w:val="22"/>
              </w:rPr>
            </w:pPr>
            <w:r>
              <w:rPr>
                <w:rFonts w:hint="eastAsia"/>
                <w:sz w:val="22"/>
                <w:szCs w:val="22"/>
              </w:rPr>
              <w:t>本共同研究終了日（研究期間が複数年度にわたる場合は各年度末）の翌日から起算して［　　］年間</w:t>
            </w:r>
          </w:p>
        </w:tc>
      </w:tr>
      <w:tr>
        <w:trPr>
          <w:cantSplit/>
          <w:trHeight w:val="405"/>
        </w:trPr>
        <w:tc>
          <w:tcPr>
            <w:tcW w:w="2250" w:type="dxa"/>
            <w:gridSpan w:val="2"/>
            <w:vMerge w:val="restart"/>
            <w:vAlign w:val="center"/>
          </w:tcPr>
          <w:p>
            <w:pPr>
              <w:rPr>
                <w:sz w:val="22"/>
                <w:szCs w:val="22"/>
              </w:rPr>
            </w:pPr>
            <w:r>
              <w:rPr>
                <w:rFonts w:hint="eastAsia"/>
                <w:sz w:val="22"/>
                <w:szCs w:val="22"/>
              </w:rPr>
              <w:t>11</w:t>
            </w:r>
            <w:r>
              <w:rPr>
                <w:rFonts w:hint="eastAsia"/>
                <w:sz w:val="22"/>
                <w:szCs w:val="22"/>
              </w:rPr>
              <w:t>．成果に関する知的財産権の帰属</w:t>
            </w:r>
          </w:p>
        </w:tc>
        <w:tc>
          <w:tcPr>
            <w:tcW w:w="681" w:type="dxa"/>
            <w:gridSpan w:val="2"/>
            <w:vAlign w:val="center"/>
          </w:tcPr>
          <w:p>
            <w:pPr>
              <w:rPr>
                <w:sz w:val="22"/>
                <w:szCs w:val="22"/>
              </w:rPr>
            </w:pPr>
            <w:r>
              <w:rPr>
                <w:rFonts w:hint="eastAsia"/>
                <w:sz w:val="22"/>
                <w:szCs w:val="22"/>
              </w:rPr>
              <w:t>甲</w:t>
            </w:r>
          </w:p>
        </w:tc>
        <w:tc>
          <w:tcPr>
            <w:tcW w:w="6240" w:type="dxa"/>
            <w:gridSpan w:val="7"/>
          </w:tcPr>
          <w:p>
            <w:pPr>
              <w:rPr>
                <w:sz w:val="22"/>
                <w:szCs w:val="22"/>
              </w:rPr>
            </w:pPr>
            <w:r>
              <w:rPr>
                <w:rFonts w:hint="eastAsia"/>
                <w:sz w:val="22"/>
                <w:szCs w:val="22"/>
              </w:rPr>
              <w:t>―</w:t>
            </w:r>
          </w:p>
        </w:tc>
      </w:tr>
      <w:tr>
        <w:trPr>
          <w:cantSplit/>
          <w:trHeight w:val="180"/>
        </w:trPr>
        <w:tc>
          <w:tcPr>
            <w:tcW w:w="2250" w:type="dxa"/>
            <w:gridSpan w:val="2"/>
            <w:vMerge/>
            <w:vAlign w:val="center"/>
          </w:tcPr>
          <w:p>
            <w:pPr>
              <w:rPr>
                <w:sz w:val="22"/>
                <w:szCs w:val="22"/>
              </w:rPr>
            </w:pPr>
          </w:p>
        </w:tc>
        <w:tc>
          <w:tcPr>
            <w:tcW w:w="681" w:type="dxa"/>
            <w:gridSpan w:val="2"/>
            <w:vAlign w:val="center"/>
          </w:tcPr>
          <w:p>
            <w:pPr>
              <w:rPr>
                <w:sz w:val="22"/>
                <w:szCs w:val="22"/>
              </w:rPr>
            </w:pPr>
            <w:r>
              <w:rPr>
                <w:rFonts w:hint="eastAsia"/>
                <w:sz w:val="22"/>
                <w:szCs w:val="22"/>
              </w:rPr>
              <w:t>乙</w:t>
            </w:r>
          </w:p>
        </w:tc>
        <w:tc>
          <w:tcPr>
            <w:tcW w:w="6240" w:type="dxa"/>
            <w:gridSpan w:val="7"/>
          </w:tcPr>
          <w:p>
            <w:pPr>
              <w:rPr>
                <w:sz w:val="22"/>
                <w:szCs w:val="22"/>
              </w:rPr>
            </w:pPr>
            <w:r>
              <w:rPr>
                <w:rFonts w:hint="eastAsia"/>
                <w:sz w:val="22"/>
                <w:szCs w:val="22"/>
              </w:rPr>
              <w:t>・単独帰属（第</w:t>
            </w:r>
            <w:r>
              <w:rPr>
                <w:rFonts w:hint="eastAsia"/>
                <w:sz w:val="22"/>
                <w:szCs w:val="22"/>
              </w:rPr>
              <w:t>13</w:t>
            </w:r>
            <w:r>
              <w:rPr>
                <w:rFonts w:hint="eastAsia"/>
                <w:sz w:val="22"/>
                <w:szCs w:val="22"/>
              </w:rPr>
              <w:t>条）</w:t>
            </w:r>
          </w:p>
        </w:tc>
      </w:tr>
      <w:tr>
        <w:trPr>
          <w:cantSplit/>
          <w:trHeight w:val="225"/>
        </w:trPr>
        <w:tc>
          <w:tcPr>
            <w:tcW w:w="2250" w:type="dxa"/>
            <w:gridSpan w:val="2"/>
            <w:vMerge w:val="restart"/>
            <w:vAlign w:val="center"/>
          </w:tcPr>
          <w:p>
            <w:pPr>
              <w:rPr>
                <w:sz w:val="22"/>
                <w:szCs w:val="22"/>
              </w:rPr>
            </w:pPr>
            <w:r>
              <w:rPr>
                <w:rFonts w:hint="eastAsia"/>
                <w:sz w:val="22"/>
                <w:szCs w:val="22"/>
              </w:rPr>
              <w:t>12</w:t>
            </w:r>
            <w:r>
              <w:rPr>
                <w:rFonts w:hint="eastAsia"/>
                <w:sz w:val="22"/>
                <w:szCs w:val="22"/>
              </w:rPr>
              <w:t>．成果に関する権限（実施権、選択権等）</w:t>
            </w:r>
          </w:p>
        </w:tc>
        <w:tc>
          <w:tcPr>
            <w:tcW w:w="681" w:type="dxa"/>
            <w:gridSpan w:val="2"/>
            <w:vAlign w:val="center"/>
          </w:tcPr>
          <w:p>
            <w:pPr>
              <w:rPr>
                <w:sz w:val="22"/>
                <w:szCs w:val="22"/>
              </w:rPr>
            </w:pPr>
            <w:r>
              <w:rPr>
                <w:rFonts w:hint="eastAsia"/>
                <w:sz w:val="22"/>
                <w:szCs w:val="22"/>
              </w:rPr>
              <w:t>甲</w:t>
            </w:r>
          </w:p>
        </w:tc>
        <w:tc>
          <w:tcPr>
            <w:tcW w:w="6240" w:type="dxa"/>
            <w:gridSpan w:val="7"/>
          </w:tcPr>
          <w:p>
            <w:pPr>
              <w:rPr>
                <w:sz w:val="22"/>
                <w:szCs w:val="22"/>
              </w:rPr>
            </w:pPr>
            <w:r>
              <w:rPr>
                <w:rFonts w:hint="eastAsia"/>
                <w:sz w:val="22"/>
                <w:szCs w:val="22"/>
              </w:rPr>
              <w:t>・研究目的での無償・非独占的実施（第</w:t>
            </w:r>
            <w:r>
              <w:rPr>
                <w:rFonts w:hint="eastAsia"/>
                <w:sz w:val="22"/>
                <w:szCs w:val="22"/>
              </w:rPr>
              <w:t>15</w:t>
            </w:r>
            <w:r>
              <w:rPr>
                <w:rFonts w:hint="eastAsia"/>
                <w:sz w:val="22"/>
                <w:szCs w:val="22"/>
              </w:rPr>
              <w:t>条）</w:t>
            </w:r>
          </w:p>
        </w:tc>
      </w:tr>
      <w:tr>
        <w:trPr>
          <w:cantSplit/>
          <w:trHeight w:val="360"/>
        </w:trPr>
        <w:tc>
          <w:tcPr>
            <w:tcW w:w="2250" w:type="dxa"/>
            <w:gridSpan w:val="2"/>
            <w:vMerge/>
            <w:vAlign w:val="center"/>
          </w:tcPr>
          <w:p>
            <w:pPr>
              <w:rPr>
                <w:sz w:val="22"/>
                <w:szCs w:val="22"/>
              </w:rPr>
            </w:pPr>
          </w:p>
        </w:tc>
        <w:tc>
          <w:tcPr>
            <w:tcW w:w="681" w:type="dxa"/>
            <w:gridSpan w:val="2"/>
            <w:vAlign w:val="center"/>
          </w:tcPr>
          <w:p>
            <w:pPr>
              <w:rPr>
                <w:sz w:val="22"/>
                <w:szCs w:val="22"/>
              </w:rPr>
            </w:pPr>
            <w:r>
              <w:rPr>
                <w:rFonts w:hint="eastAsia"/>
                <w:sz w:val="22"/>
                <w:szCs w:val="22"/>
              </w:rPr>
              <w:t>乙</w:t>
            </w:r>
          </w:p>
        </w:tc>
        <w:tc>
          <w:tcPr>
            <w:tcW w:w="6240" w:type="dxa"/>
            <w:gridSpan w:val="7"/>
          </w:tcPr>
          <w:p>
            <w:pPr>
              <w:rPr>
                <w:sz w:val="22"/>
                <w:szCs w:val="22"/>
              </w:rPr>
            </w:pPr>
            <w:r>
              <w:rPr>
                <w:rFonts w:hint="eastAsia"/>
                <w:sz w:val="22"/>
                <w:szCs w:val="22"/>
              </w:rPr>
              <w:t>・実施／実施許諾（第</w:t>
            </w:r>
            <w:r>
              <w:rPr>
                <w:rFonts w:hint="eastAsia"/>
                <w:sz w:val="22"/>
                <w:szCs w:val="22"/>
              </w:rPr>
              <w:t>14</w:t>
            </w:r>
            <w:r>
              <w:rPr>
                <w:rFonts w:hint="eastAsia"/>
                <w:sz w:val="22"/>
                <w:szCs w:val="22"/>
              </w:rPr>
              <w:t>条、第</w:t>
            </w:r>
            <w:r>
              <w:rPr>
                <w:rFonts w:hint="eastAsia"/>
                <w:sz w:val="22"/>
                <w:szCs w:val="22"/>
              </w:rPr>
              <w:t>15</w:t>
            </w:r>
            <w:r>
              <w:rPr>
                <w:rFonts w:hint="eastAsia"/>
                <w:sz w:val="22"/>
                <w:szCs w:val="22"/>
              </w:rPr>
              <w:t>条）</w:t>
            </w:r>
          </w:p>
        </w:tc>
      </w:tr>
    </w:tbl>
    <w:p>
      <w:pPr>
        <w:rPr>
          <w:sz w:val="22"/>
          <w:szCs w:val="22"/>
        </w:rPr>
      </w:pPr>
      <w:r>
        <w:rPr>
          <w:rFonts w:hint="eastAsia"/>
          <w:sz w:val="22"/>
          <w:szCs w:val="22"/>
        </w:rPr>
        <w:t xml:space="preserve">　［　　　　］大学（以下、「甲」という。）と［　　　　　］（以下、「乙」という。）とは、以下の研究項目に掲げる共同研究（以下、「本共同研究」という。）の実施に関し、以下のとおり契約（以下、「本契約」という。）を</w:t>
      </w:r>
      <w:bookmarkStart w:id="0" w:name="_GoBack"/>
      <w:bookmarkEnd w:id="0"/>
      <w:r>
        <w:rPr>
          <w:rFonts w:hint="eastAsia"/>
          <w:sz w:val="22"/>
          <w:szCs w:val="22"/>
        </w:rPr>
        <w:t>締結する。</w:t>
      </w:r>
    </w:p>
    <w:p>
      <w:pPr>
        <w:rPr>
          <w:sz w:val="22"/>
          <w:szCs w:val="22"/>
        </w:rPr>
      </w:pPr>
      <w:r>
        <w:rPr>
          <w:rFonts w:hint="eastAsia"/>
          <w:sz w:val="22"/>
          <w:szCs w:val="22"/>
        </w:rPr>
        <w:t>（契約項目表）</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（以下、余白）</w:t>
      </w:r>
      <w:r>
        <w:rPr>
          <w:sz w:val="22"/>
          <w:szCs w:val="22"/>
        </w:rPr>
        <w:br w:type="page"/>
      </w: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1</w:t>
      </w:r>
      <w:r>
        <w:rPr>
          <w:rFonts w:hint="eastAsia"/>
          <w:b/>
          <w:sz w:val="22"/>
          <w:szCs w:val="22"/>
        </w:rPr>
        <w:t>条（定義）</w:t>
      </w:r>
    </w:p>
    <w:p>
      <w:pPr>
        <w:tabs>
          <w:tab w:val="clear" w:pos="960"/>
          <w:tab w:val="clear" w:pos="1920"/>
          <w:tab w:val="clear" w:pos="2880"/>
          <w:tab w:val="clear" w:pos="3840"/>
          <w:tab w:val="clear" w:pos="9096"/>
        </w:tabs>
        <w:rPr>
          <w:sz w:val="22"/>
          <w:szCs w:val="22"/>
        </w:rPr>
      </w:pPr>
      <w:r>
        <w:rPr>
          <w:rFonts w:hint="eastAsia"/>
          <w:sz w:val="22"/>
          <w:szCs w:val="22"/>
        </w:rPr>
        <w:t>本契約において、以下の各号に掲げる用語の意味は、当該各号に定めるところによる。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1</w:t>
      </w:r>
      <w:r>
        <w:rPr>
          <w:rFonts w:hint="eastAsia"/>
          <w:sz w:val="22"/>
          <w:szCs w:val="22"/>
        </w:rPr>
        <w:t>）「本研究成果」とは、本共同研究に基づき得られたもので、本共同研究の目的に関係する発明、考案、意匠、著作物、ノウハウ等の技術的成果をいう。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2</w:t>
      </w:r>
      <w:r>
        <w:rPr>
          <w:rFonts w:hint="eastAsia"/>
          <w:sz w:val="22"/>
          <w:szCs w:val="22"/>
        </w:rPr>
        <w:t>）「知的財産権」とは、以下に掲げるものをいう。</w:t>
      </w:r>
    </w:p>
    <w:p>
      <w:pPr>
        <w:tabs>
          <w:tab w:val="clear" w:pos="960"/>
          <w:tab w:val="clear" w:pos="1920"/>
          <w:tab w:val="clear" w:pos="2880"/>
          <w:tab w:val="clear" w:pos="3840"/>
          <w:tab w:val="clear" w:pos="9096"/>
        </w:tabs>
        <w:rPr>
          <w:sz w:val="22"/>
          <w:szCs w:val="22"/>
        </w:rPr>
      </w:pPr>
      <w:r>
        <w:rPr>
          <w:rFonts w:hint="eastAsia"/>
          <w:sz w:val="22"/>
          <w:szCs w:val="22"/>
        </w:rPr>
        <w:t xml:space="preserve">　イ　特許法（昭和</w:t>
      </w:r>
      <w:r>
        <w:rPr>
          <w:rFonts w:hint="eastAsia"/>
          <w:sz w:val="22"/>
          <w:szCs w:val="22"/>
        </w:rPr>
        <w:t>34</w:t>
      </w:r>
      <w:r>
        <w:rPr>
          <w:rFonts w:hint="eastAsia"/>
          <w:sz w:val="22"/>
          <w:szCs w:val="22"/>
        </w:rPr>
        <w:t>年法律第</w:t>
      </w:r>
      <w:r>
        <w:rPr>
          <w:rFonts w:hint="eastAsia"/>
          <w:sz w:val="22"/>
          <w:szCs w:val="22"/>
        </w:rPr>
        <w:t>121</w:t>
      </w:r>
      <w:r>
        <w:rPr>
          <w:rFonts w:hint="eastAsia"/>
          <w:sz w:val="22"/>
          <w:szCs w:val="22"/>
        </w:rPr>
        <w:t>号）に規定する特許権、実用新案法（昭和</w:t>
      </w:r>
      <w:r>
        <w:rPr>
          <w:rFonts w:hint="eastAsia"/>
          <w:sz w:val="22"/>
          <w:szCs w:val="22"/>
        </w:rPr>
        <w:t>34</w:t>
      </w:r>
      <w:r>
        <w:rPr>
          <w:rFonts w:hint="eastAsia"/>
          <w:sz w:val="22"/>
          <w:szCs w:val="22"/>
        </w:rPr>
        <w:t>年法律第</w:t>
      </w:r>
      <w:r>
        <w:rPr>
          <w:rFonts w:hint="eastAsia"/>
          <w:sz w:val="22"/>
          <w:szCs w:val="22"/>
        </w:rPr>
        <w:t xml:space="preserve"> 123</w:t>
      </w:r>
      <w:r>
        <w:rPr>
          <w:rFonts w:hint="eastAsia"/>
          <w:sz w:val="22"/>
          <w:szCs w:val="22"/>
        </w:rPr>
        <w:t>号）に規定する実用新案権、意匠法（昭和</w:t>
      </w:r>
      <w:r>
        <w:rPr>
          <w:rFonts w:hint="eastAsia"/>
          <w:sz w:val="22"/>
          <w:szCs w:val="22"/>
        </w:rPr>
        <w:t>34</w:t>
      </w:r>
      <w:r>
        <w:rPr>
          <w:rFonts w:hint="eastAsia"/>
          <w:sz w:val="22"/>
          <w:szCs w:val="22"/>
        </w:rPr>
        <w:t>年法律第</w:t>
      </w:r>
      <w:r>
        <w:rPr>
          <w:rFonts w:hint="eastAsia"/>
          <w:sz w:val="22"/>
          <w:szCs w:val="22"/>
        </w:rPr>
        <w:t>125</w:t>
      </w:r>
      <w:r>
        <w:rPr>
          <w:rFonts w:hint="eastAsia"/>
          <w:sz w:val="22"/>
          <w:szCs w:val="22"/>
        </w:rPr>
        <w:t>号）に規定する意匠権、商標法（昭和</w:t>
      </w:r>
      <w:r>
        <w:rPr>
          <w:rFonts w:hint="eastAsia"/>
          <w:sz w:val="22"/>
          <w:szCs w:val="22"/>
        </w:rPr>
        <w:t>34</w:t>
      </w:r>
      <w:r>
        <w:rPr>
          <w:rFonts w:hint="eastAsia"/>
          <w:sz w:val="22"/>
          <w:szCs w:val="22"/>
        </w:rPr>
        <w:t>年法律第</w:t>
      </w:r>
      <w:r>
        <w:rPr>
          <w:rFonts w:hint="eastAsia"/>
          <w:sz w:val="22"/>
          <w:szCs w:val="22"/>
        </w:rPr>
        <w:t>127</w:t>
      </w:r>
      <w:r>
        <w:rPr>
          <w:rFonts w:hint="eastAsia"/>
          <w:sz w:val="22"/>
          <w:szCs w:val="22"/>
        </w:rPr>
        <w:t>号）に規定する商標権、半導体集積回路の回路配置に関する法律（昭和</w:t>
      </w:r>
      <w:r>
        <w:rPr>
          <w:rFonts w:hint="eastAsia"/>
          <w:sz w:val="22"/>
          <w:szCs w:val="22"/>
        </w:rPr>
        <w:t>60</w:t>
      </w:r>
      <w:r>
        <w:rPr>
          <w:rFonts w:hint="eastAsia"/>
          <w:sz w:val="22"/>
          <w:szCs w:val="22"/>
        </w:rPr>
        <w:t>年法律第</w:t>
      </w:r>
      <w:r>
        <w:rPr>
          <w:rFonts w:hint="eastAsia"/>
          <w:sz w:val="22"/>
          <w:szCs w:val="22"/>
        </w:rPr>
        <w:t>43</w:t>
      </w:r>
      <w:r>
        <w:rPr>
          <w:rFonts w:hint="eastAsia"/>
          <w:sz w:val="22"/>
          <w:szCs w:val="22"/>
        </w:rPr>
        <w:t>号）に規定する回路配置利用権、種苗法（平成</w:t>
      </w:r>
      <w:r>
        <w:rPr>
          <w:rFonts w:hint="eastAsia"/>
          <w:sz w:val="22"/>
          <w:szCs w:val="22"/>
        </w:rPr>
        <w:t>10</w:t>
      </w:r>
      <w:r>
        <w:rPr>
          <w:rFonts w:hint="eastAsia"/>
          <w:sz w:val="22"/>
          <w:szCs w:val="22"/>
        </w:rPr>
        <w:t>年法律第</w:t>
      </w:r>
      <w:r>
        <w:rPr>
          <w:rFonts w:hint="eastAsia"/>
          <w:sz w:val="22"/>
          <w:szCs w:val="22"/>
        </w:rPr>
        <w:t>83</w:t>
      </w:r>
      <w:r>
        <w:rPr>
          <w:rFonts w:hint="eastAsia"/>
          <w:sz w:val="22"/>
          <w:szCs w:val="22"/>
        </w:rPr>
        <w:t>号）に規定する育成者権及び外国における上記各権利に相当する権利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ハ　著作権法（昭和</w:t>
      </w:r>
      <w:r>
        <w:rPr>
          <w:rFonts w:hint="eastAsia"/>
          <w:sz w:val="22"/>
          <w:szCs w:val="22"/>
        </w:rPr>
        <w:t>45</w:t>
      </w:r>
      <w:r>
        <w:rPr>
          <w:rFonts w:hint="eastAsia"/>
          <w:sz w:val="22"/>
          <w:szCs w:val="22"/>
        </w:rPr>
        <w:t>年法律第</w:t>
      </w:r>
      <w:r>
        <w:rPr>
          <w:rFonts w:hint="eastAsia"/>
          <w:sz w:val="22"/>
          <w:szCs w:val="22"/>
        </w:rPr>
        <w:t>48</w:t>
      </w:r>
      <w:r>
        <w:rPr>
          <w:rFonts w:hint="eastAsia"/>
          <w:sz w:val="22"/>
          <w:szCs w:val="22"/>
        </w:rPr>
        <w:t>号）に規定するプログラムの著作物及びデータベースの著作物（以下「プログラム等」という。）に係る著作権並びに外国における上記権利に相当する権利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ニ　秘匿することが可能な技術情報であって、かつ、財産的価値のあるものの中から、第</w:t>
      </w:r>
      <w:r>
        <w:rPr>
          <w:rFonts w:hint="eastAsia"/>
          <w:sz w:val="22"/>
          <w:szCs w:val="22"/>
        </w:rPr>
        <w:t>21</w:t>
      </w:r>
      <w:r>
        <w:rPr>
          <w:rFonts w:hint="eastAsia"/>
          <w:sz w:val="22"/>
          <w:szCs w:val="22"/>
        </w:rPr>
        <w:t>条の規定に基づき特定するもの（以下「ノウハウ」という。）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3</w:t>
      </w:r>
      <w:r>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4</w:t>
      </w:r>
      <w:r>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5</w:t>
      </w:r>
      <w:r>
        <w:rPr>
          <w:rFonts w:hint="eastAsia"/>
          <w:sz w:val="22"/>
          <w:szCs w:val="22"/>
        </w:rPr>
        <w:t>）「出願等費用」とは、知的財産権等の出願等に要する費用であって、特許庁、裁判所等の機関又は甲及び乙のいずれにも所属しない弁理士等の外部専門家に対し支払われるものをいう。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6</w:t>
      </w:r>
      <w:r>
        <w:rPr>
          <w:rFonts w:hint="eastAsia"/>
          <w:sz w:val="22"/>
          <w:szCs w:val="22"/>
        </w:rPr>
        <w:t>）知的財産権の「実施」とは、特許法第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項に定める行為、実用新案法第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項に定める行為、意匠法第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項に定める行為、商標法第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項に定める行為、半導体集積回路の回路配置に関する法律第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項に定める行為、種苗法第</w:t>
      </w:r>
      <w:r>
        <w:rPr>
          <w:rFonts w:hint="eastAsia"/>
          <w:sz w:val="22"/>
          <w:szCs w:val="22"/>
        </w:rPr>
        <w:t>2</w:t>
      </w:r>
      <w:r>
        <w:rPr>
          <w:rFonts w:hint="eastAsia"/>
          <w:sz w:val="22"/>
          <w:szCs w:val="22"/>
        </w:rPr>
        <w:t>条第</w:t>
      </w:r>
      <w:r>
        <w:rPr>
          <w:rFonts w:hint="eastAsia"/>
          <w:sz w:val="22"/>
          <w:szCs w:val="22"/>
        </w:rPr>
        <w:t>5</w:t>
      </w:r>
      <w:r>
        <w:rPr>
          <w:rFonts w:hint="eastAsia"/>
          <w:sz w:val="22"/>
          <w:szCs w:val="22"/>
        </w:rPr>
        <w:t>項に定める行為、著作物のあらゆる利用行為並びにノウハウの使用をいう。</w:t>
      </w:r>
    </w:p>
    <w:p>
      <w:pPr>
        <w:rPr>
          <w:sz w:val="22"/>
          <w:szCs w:val="22"/>
        </w:rPr>
      </w:pPr>
      <w:r>
        <w:rPr>
          <w:rFonts w:hint="eastAsia"/>
          <w:sz w:val="22"/>
          <w:szCs w:val="22"/>
        </w:rPr>
        <w:t>［（</w:t>
      </w:r>
      <w:r>
        <w:rPr>
          <w:rFonts w:hint="eastAsia"/>
          <w:sz w:val="22"/>
          <w:szCs w:val="22"/>
        </w:rPr>
        <w:t>7</w:t>
      </w:r>
      <w:r>
        <w:rPr>
          <w:rFonts w:hint="eastAsia"/>
          <w:sz w:val="22"/>
          <w:szCs w:val="22"/>
        </w:rPr>
        <w:t>）「本データ」とは、個人情報の保護に関する法律（平成</w:t>
      </w:r>
      <w:r>
        <w:rPr>
          <w:rFonts w:hint="eastAsia"/>
          <w:sz w:val="22"/>
          <w:szCs w:val="22"/>
        </w:rPr>
        <w:t>15</w:t>
      </w:r>
      <w:r>
        <w:rPr>
          <w:rFonts w:hint="eastAsia"/>
          <w:sz w:val="22"/>
          <w:szCs w:val="22"/>
        </w:rPr>
        <w:t>年法律第</w:t>
      </w:r>
      <w:r>
        <w:rPr>
          <w:rFonts w:hint="eastAsia"/>
          <w:sz w:val="22"/>
          <w:szCs w:val="22"/>
        </w:rPr>
        <w:t>57</w:t>
      </w:r>
      <w:r>
        <w:rPr>
          <w:rFonts w:hint="eastAsia"/>
          <w:sz w:val="22"/>
          <w:szCs w:val="22"/>
        </w:rPr>
        <w:t>号）</w:t>
      </w:r>
      <w:r>
        <w:rPr>
          <w:sz w:val="22"/>
          <w:szCs w:val="22"/>
        </w:rPr>
        <w:t>2</w:t>
      </w:r>
      <w:r>
        <w:rPr>
          <w:rFonts w:hint="eastAsia"/>
          <w:sz w:val="22"/>
          <w:szCs w:val="22"/>
        </w:rPr>
        <w:t>条所定の「個人情報」以外の情報についての電磁的記録（電子的方式、電気的方式その他人の近くによっては認識できない方式で作成される記録であって、電子計算機による情報処理の用に供されるものをいう。）をいう。</w:t>
      </w:r>
    </w:p>
    <w:p>
      <w:pPr>
        <w:rPr>
          <w:sz w:val="22"/>
          <w:szCs w:val="22"/>
        </w:rPr>
      </w:pPr>
      <w:r>
        <w:rPr>
          <w:rFonts w:hint="eastAsia"/>
          <w:sz w:val="22"/>
          <w:szCs w:val="22"/>
        </w:rPr>
        <w:t>（</w:t>
      </w:r>
      <w:r>
        <w:rPr>
          <w:rFonts w:hint="eastAsia"/>
          <w:sz w:val="22"/>
          <w:szCs w:val="22"/>
        </w:rPr>
        <w:t>8</w:t>
      </w:r>
      <w:r>
        <w:rPr>
          <w:rFonts w:hint="eastAsia"/>
          <w:sz w:val="22"/>
          <w:szCs w:val="22"/>
        </w:rPr>
        <w:t>）「各当事者提供データ」とは、本契約締結前から各当事者が利用権限を有し、本共同研究の目的で提供する本データであって、各当事者について別紙</w:t>
      </w:r>
      <w:r>
        <w:rPr>
          <w:rFonts w:hint="eastAsia"/>
          <w:sz w:val="22"/>
          <w:szCs w:val="22"/>
        </w:rPr>
        <w:t>[1]</w:t>
      </w:r>
      <w:r>
        <w:rPr>
          <w:rFonts w:hint="eastAsia"/>
          <w:sz w:val="22"/>
          <w:szCs w:val="22"/>
        </w:rPr>
        <w:t>に示される。</w:t>
      </w:r>
    </w:p>
    <w:p>
      <w:pPr>
        <w:rPr>
          <w:sz w:val="22"/>
          <w:szCs w:val="22"/>
        </w:rPr>
      </w:pPr>
      <w:r>
        <w:rPr>
          <w:rFonts w:hint="eastAsia"/>
          <w:sz w:val="22"/>
          <w:szCs w:val="22"/>
        </w:rPr>
        <w:t>（</w:t>
      </w:r>
      <w:r>
        <w:rPr>
          <w:rFonts w:hint="eastAsia"/>
          <w:sz w:val="22"/>
          <w:szCs w:val="22"/>
        </w:rPr>
        <w:t>9</w:t>
      </w:r>
      <w:r>
        <w:rPr>
          <w:rFonts w:hint="eastAsia"/>
          <w:sz w:val="22"/>
          <w:szCs w:val="22"/>
        </w:rPr>
        <w:t>）「本成果データ」とは、本研究の遂行の過程で、又は、これに関して、創出され、取得又は収集される本データであって、別紙</w:t>
      </w:r>
      <w:r>
        <w:rPr>
          <w:rFonts w:hint="eastAsia"/>
          <w:sz w:val="22"/>
          <w:szCs w:val="22"/>
        </w:rPr>
        <w:t>[2]</w:t>
      </w:r>
      <w:r>
        <w:rPr>
          <w:rFonts w:hint="eastAsia"/>
          <w:sz w:val="22"/>
          <w:szCs w:val="22"/>
        </w:rPr>
        <w:t>に示される。</w:t>
      </w:r>
    </w:p>
    <w:p>
      <w:pPr>
        <w:rPr>
          <w:sz w:val="22"/>
          <w:szCs w:val="22"/>
        </w:rPr>
      </w:pPr>
      <w:r>
        <w:rPr>
          <w:rFonts w:hint="eastAsia"/>
          <w:sz w:val="22"/>
          <w:szCs w:val="22"/>
        </w:rPr>
        <w:t>（</w:t>
      </w:r>
      <w:r>
        <w:rPr>
          <w:rFonts w:hint="eastAsia"/>
          <w:sz w:val="22"/>
          <w:szCs w:val="22"/>
        </w:rPr>
        <w:t>10</w:t>
      </w:r>
      <w:r>
        <w:rPr>
          <w:rFonts w:hint="eastAsia"/>
          <w:sz w:val="22"/>
          <w:szCs w:val="22"/>
        </w:rPr>
        <w:t>）「利用権限」とは、データを利用、管理、開示、譲渡（利用許諾を含む。）又は処分することのほか、データに係る一切の権限をいう。］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w:t>
      </w:r>
      <w:r>
        <w:rPr>
          <w:rFonts w:hint="eastAsia"/>
          <w:b/>
          <w:sz w:val="22"/>
          <w:szCs w:val="22"/>
        </w:rPr>
        <w:t>条（研究題目等）</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甲及び乙は、契約項目表</w:t>
      </w:r>
      <w:r>
        <w:rPr>
          <w:rFonts w:hint="eastAsia"/>
          <w:sz w:val="22"/>
          <w:szCs w:val="22"/>
        </w:rPr>
        <w:t>1</w:t>
      </w:r>
      <w:r>
        <w:rPr>
          <w:rFonts w:hint="eastAsia"/>
          <w:sz w:val="22"/>
          <w:szCs w:val="22"/>
        </w:rPr>
        <w:t>．ないし</w:t>
      </w:r>
      <w:r>
        <w:rPr>
          <w:rFonts w:hint="eastAsia"/>
          <w:sz w:val="22"/>
          <w:szCs w:val="22"/>
        </w:rPr>
        <w:t>3</w:t>
      </w:r>
      <w:r>
        <w:rPr>
          <w:rFonts w:hint="eastAsia"/>
          <w:sz w:val="22"/>
          <w:szCs w:val="22"/>
        </w:rPr>
        <w:t>．記載の共同研究（以下「本共同研究」という。）を実施するものとする。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3</w:t>
      </w:r>
      <w:r>
        <w:rPr>
          <w:rFonts w:hint="eastAsia"/>
          <w:b/>
          <w:sz w:val="22"/>
          <w:szCs w:val="22"/>
        </w:rPr>
        <w:t>条（研究期間）</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本共同研究の研究期間は、契約項目表</w:t>
      </w:r>
      <w:r>
        <w:rPr>
          <w:rFonts w:hint="eastAsia"/>
          <w:sz w:val="22"/>
          <w:szCs w:val="22"/>
        </w:rPr>
        <w:t>6</w:t>
      </w:r>
      <w:r>
        <w:rPr>
          <w:rFonts w:hint="eastAsia"/>
          <w:sz w:val="22"/>
          <w:szCs w:val="22"/>
        </w:rPr>
        <w:t>．記載の期間とする。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4</w:t>
      </w:r>
      <w:r>
        <w:rPr>
          <w:rFonts w:hint="eastAsia"/>
          <w:b/>
          <w:sz w:val="22"/>
          <w:szCs w:val="22"/>
        </w:rPr>
        <w:t>条（研究担当者）</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甲及び乙は、それぞれ、契約項目表</w:t>
      </w:r>
      <w:r>
        <w:rPr>
          <w:rFonts w:hint="eastAsia"/>
          <w:sz w:val="22"/>
          <w:szCs w:val="22"/>
        </w:rPr>
        <w:t>4</w:t>
      </w:r>
      <w:r>
        <w:rPr>
          <w:rFonts w:hint="eastAsia"/>
          <w:sz w:val="22"/>
          <w:szCs w:val="22"/>
        </w:rPr>
        <w:t>．に掲げる者を本共同研究の研究担当者として本共同研究に参加させるものとする。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甲は、乙が希望する場合、乙の研究担当者のうち甲の研究実施場所において本共同研究に従事する者を共同研究員として受け入れるものとする。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甲及び乙は、相手方の同意を得た上で、第</w:t>
      </w:r>
      <w:r>
        <w:rPr>
          <w:rFonts w:hint="eastAsia"/>
          <w:sz w:val="22"/>
          <w:szCs w:val="22"/>
        </w:rPr>
        <w:t>1</w:t>
      </w:r>
      <w:r>
        <w:rPr>
          <w:rFonts w:hint="eastAsia"/>
          <w:sz w:val="22"/>
          <w:szCs w:val="22"/>
        </w:rPr>
        <w:t>項に定める研究担当者の変更、追加又は削減を行うことができるものとする。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5</w:t>
      </w:r>
      <w:r>
        <w:rPr>
          <w:rFonts w:hint="eastAsia"/>
          <w:b/>
          <w:sz w:val="22"/>
          <w:szCs w:val="22"/>
        </w:rPr>
        <w:t>条（研究経費の負担及び支払）</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甲は、契約項目表</w:t>
      </w:r>
      <w:r>
        <w:rPr>
          <w:rFonts w:hint="eastAsia"/>
          <w:sz w:val="22"/>
          <w:szCs w:val="22"/>
        </w:rPr>
        <w:t>7</w:t>
      </w:r>
      <w:r>
        <w:rPr>
          <w:rFonts w:hint="eastAsia"/>
          <w:sz w:val="22"/>
          <w:szCs w:val="22"/>
        </w:rPr>
        <w:t>．記載の研究費、乙は、契約項目表</w:t>
      </w:r>
      <w:r>
        <w:rPr>
          <w:rFonts w:hint="eastAsia"/>
          <w:sz w:val="22"/>
          <w:szCs w:val="22"/>
        </w:rPr>
        <w:t>7</w:t>
      </w:r>
      <w:r>
        <w:rPr>
          <w:rFonts w:hint="eastAsia"/>
          <w:sz w:val="22"/>
          <w:szCs w:val="22"/>
        </w:rPr>
        <w:t>．記載の研究費［及び研究料］を、それぞれ負担するものとする。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乙は、契約項目表</w:t>
      </w:r>
      <w:r>
        <w:rPr>
          <w:rFonts w:hint="eastAsia"/>
          <w:sz w:val="22"/>
          <w:szCs w:val="22"/>
        </w:rPr>
        <w:t>7</w:t>
      </w:r>
      <w:r>
        <w:rPr>
          <w:rFonts w:hint="eastAsia"/>
          <w:sz w:val="22"/>
          <w:szCs w:val="22"/>
        </w:rPr>
        <w:t>．記載の研究費［及び研究料］を甲が発行する請求書により、当該請求書に定める支払期限までに支払わなければならない。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乙は所定の支払期限までに研究費［及び研究料］を支払わないときは、支払期日の翌日から支払った日までの日数に応じ、その未払額に年</w:t>
      </w:r>
      <w:r>
        <w:rPr>
          <w:sz w:val="22"/>
          <w:szCs w:val="22"/>
        </w:rPr>
        <w:t>5</w:t>
      </w:r>
      <w:r>
        <w:rPr>
          <w:rFonts w:hint="eastAsia"/>
          <w:sz w:val="22"/>
          <w:szCs w:val="22"/>
        </w:rPr>
        <w:t>％の割合で計算した延滞金を付加して支払わなければならない。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6</w:t>
      </w:r>
      <w:r>
        <w:rPr>
          <w:rFonts w:hint="eastAsia"/>
          <w:b/>
          <w:sz w:val="22"/>
          <w:szCs w:val="22"/>
        </w:rPr>
        <w:t>条（経理）</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前条の研究経費の経理は甲が行う。</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乙は本契約に関する経理書類の閲覧を甲に申し出ることができる。甲は乙からの閲覧の申し出があった場合は、これに応じなければならない。ただし、当該経理書類の閲覧又は謄写により第三者の情報を開示することになるときは、甲は、乙に対しその理由を示した上で、該当部分の閲覧及び謄写を拒む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7</w:t>
      </w:r>
      <w:r>
        <w:rPr>
          <w:rFonts w:hint="eastAsia"/>
          <w:b/>
          <w:sz w:val="22"/>
          <w:szCs w:val="22"/>
        </w:rPr>
        <w:t>条（研究経費により取得した設備等）</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契約項目表</w:t>
      </w:r>
      <w:r>
        <w:rPr>
          <w:rFonts w:hint="eastAsia"/>
          <w:sz w:val="22"/>
          <w:szCs w:val="22"/>
        </w:rPr>
        <w:t>7</w:t>
      </w:r>
      <w:r>
        <w:rPr>
          <w:rFonts w:hint="eastAsia"/>
          <w:sz w:val="22"/>
          <w:szCs w:val="22"/>
        </w:rPr>
        <w:t>．記載の研究経費により取得した設備等は、甲に帰属するものとする。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 w:val="left" w:pos="1515"/>
        </w:tabs>
        <w:rPr>
          <w:b/>
          <w:sz w:val="22"/>
          <w:szCs w:val="22"/>
        </w:rPr>
      </w:pPr>
      <w:r>
        <w:rPr>
          <w:rFonts w:hint="eastAsia"/>
          <w:b/>
          <w:sz w:val="22"/>
          <w:szCs w:val="22"/>
        </w:rPr>
        <w:t>第</w:t>
      </w:r>
      <w:r>
        <w:rPr>
          <w:rFonts w:hint="eastAsia"/>
          <w:b/>
          <w:sz w:val="22"/>
          <w:szCs w:val="22"/>
        </w:rPr>
        <w:t>8</w:t>
      </w:r>
      <w:r>
        <w:rPr>
          <w:rFonts w:hint="eastAsia"/>
          <w:b/>
          <w:sz w:val="22"/>
          <w:szCs w:val="22"/>
        </w:rPr>
        <w:t>条（施設及び設備の提供等）</w:t>
      </w:r>
    </w:p>
    <w:p>
      <w:pPr>
        <w:tabs>
          <w:tab w:val="clear" w:pos="960"/>
          <w:tab w:val="clear" w:pos="1920"/>
          <w:tab w:val="clear" w:pos="2880"/>
          <w:tab w:val="clear" w:pos="3840"/>
          <w:tab w:val="clear" w:pos="9096"/>
          <w:tab w:val="left" w:pos="1515"/>
        </w:tabs>
        <w:ind w:left="240" w:hangingChars="109" w:hanging="240"/>
        <w:rPr>
          <w:sz w:val="22"/>
          <w:szCs w:val="22"/>
        </w:rPr>
      </w:pPr>
      <w:r>
        <w:rPr>
          <w:sz w:val="22"/>
          <w:szCs w:val="22"/>
        </w:rPr>
        <w:t>1</w:t>
      </w:r>
      <w:r>
        <w:rPr>
          <w:rFonts w:hint="eastAsia"/>
          <w:sz w:val="22"/>
          <w:szCs w:val="22"/>
        </w:rPr>
        <w:t xml:space="preserve">　甲及び乙は、契約項目表</w:t>
      </w:r>
      <w:r>
        <w:rPr>
          <w:rFonts w:hint="eastAsia"/>
          <w:sz w:val="22"/>
          <w:szCs w:val="22"/>
        </w:rPr>
        <w:t>8.</w:t>
      </w:r>
      <w:r>
        <w:rPr>
          <w:rFonts w:hint="eastAsia"/>
          <w:sz w:val="22"/>
          <w:szCs w:val="22"/>
        </w:rPr>
        <w:t>に掲げる自己の施設・設備を本共同研究の用に供するものとする。</w:t>
      </w:r>
    </w:p>
    <w:p>
      <w:pPr>
        <w:tabs>
          <w:tab w:val="clear" w:pos="960"/>
          <w:tab w:val="clear" w:pos="1920"/>
          <w:tab w:val="clear" w:pos="2880"/>
          <w:tab w:val="clear" w:pos="3840"/>
          <w:tab w:val="clear" w:pos="9096"/>
          <w:tab w:val="left" w:pos="1515"/>
        </w:tabs>
        <w:ind w:left="240" w:hangingChars="109" w:hanging="240"/>
        <w:rPr>
          <w:sz w:val="22"/>
          <w:szCs w:val="22"/>
        </w:rPr>
      </w:pPr>
      <w:r>
        <w:rPr>
          <w:sz w:val="22"/>
          <w:szCs w:val="22"/>
        </w:rPr>
        <w:t>2</w:t>
      </w:r>
      <w:r>
        <w:rPr>
          <w:rFonts w:hint="eastAsia"/>
          <w:sz w:val="22"/>
          <w:szCs w:val="22"/>
        </w:rPr>
        <w:t xml:space="preserve">　甲は、本共同研究の用に供するため、乙から契約項目表</w:t>
      </w:r>
      <w:r>
        <w:rPr>
          <w:rFonts w:hint="eastAsia"/>
          <w:sz w:val="22"/>
          <w:szCs w:val="22"/>
        </w:rPr>
        <w:t>8.</w:t>
      </w:r>
      <w:r>
        <w:rPr>
          <w:rFonts w:hint="eastAsia"/>
          <w:sz w:val="22"/>
          <w:szCs w:val="22"/>
        </w:rPr>
        <w:t>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pPr>
        <w:tabs>
          <w:tab w:val="clear" w:pos="960"/>
          <w:tab w:val="clear" w:pos="1920"/>
          <w:tab w:val="clear" w:pos="2880"/>
          <w:tab w:val="clear" w:pos="3840"/>
          <w:tab w:val="clear" w:pos="9096"/>
          <w:tab w:val="left" w:pos="1515"/>
        </w:tabs>
        <w:ind w:left="240" w:hangingChars="109" w:hanging="240"/>
        <w:rPr>
          <w:sz w:val="22"/>
          <w:szCs w:val="22"/>
        </w:rPr>
      </w:pPr>
      <w:r>
        <w:rPr>
          <w:sz w:val="22"/>
          <w:szCs w:val="22"/>
        </w:rPr>
        <w:t>3</w:t>
      </w:r>
      <w:r>
        <w:rPr>
          <w:rFonts w:hint="eastAsia"/>
          <w:sz w:val="22"/>
          <w:szCs w:val="22"/>
        </w:rPr>
        <w:t xml:space="preserve">　前項に規定する設備の搬入、据付け、撤去及び搬出に要する経費は、乙の負担とする。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9</w:t>
      </w:r>
      <w:r>
        <w:rPr>
          <w:rFonts w:hint="eastAsia"/>
          <w:b/>
          <w:sz w:val="22"/>
          <w:szCs w:val="22"/>
        </w:rPr>
        <w:t>条（研究の中止又は期間の延長）</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甲及び乙は、天災その他やむを得ない事由があるときは、相手方と協議した上で、本共同研究を中止し、又は当該協議により相手方との間で合意した場合には本共同研究の研究期間を延長することができる。この場合において、甲及び乙は、相手方に対し、中止又は延長による責めを負わない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は、甲の研究担当者等の退職又は他機関への異動により、本共同研究の実施の継続が困難になったと認められるときは、乙と協議した上で、本共同研究を中止することができる。この場合において、甲は、乙に対し、中止による責めを負わない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甲及び乙は、本共同研究の研究期間の延長により、第</w:t>
      </w:r>
      <w:r>
        <w:rPr>
          <w:rFonts w:hint="eastAsia"/>
          <w:sz w:val="22"/>
          <w:szCs w:val="22"/>
        </w:rPr>
        <w:t>5</w:t>
      </w:r>
      <w:r>
        <w:rPr>
          <w:rFonts w:hint="eastAsia"/>
          <w:sz w:val="22"/>
          <w:szCs w:val="22"/>
        </w:rPr>
        <w:t>条第</w:t>
      </w:r>
      <w:r>
        <w:rPr>
          <w:rFonts w:hint="eastAsia"/>
          <w:sz w:val="22"/>
          <w:szCs w:val="22"/>
        </w:rPr>
        <w:t>2</w:t>
      </w:r>
      <w:r>
        <w:rPr>
          <w:rFonts w:hint="eastAsia"/>
          <w:sz w:val="22"/>
          <w:szCs w:val="22"/>
        </w:rPr>
        <w:t>項の規定により乙から甲に対し納入された本研究経費に不足が生じ、又は不足が生じるおそれがあるときは、本共同研究の継続の可否について協議するものとする。この場合において、乙が、当該不足額の追加負担をしないときは、甲は、乙との協議の結果を踏まえ、本共同研究を中止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10</w:t>
      </w:r>
      <w:r>
        <w:rPr>
          <w:rFonts w:hint="eastAsia"/>
          <w:b/>
          <w:sz w:val="22"/>
          <w:szCs w:val="22"/>
        </w:rPr>
        <w:t>条（研究の終了）</w:t>
      </w:r>
    </w:p>
    <w:p>
      <w:pPr>
        <w:tabs>
          <w:tab w:val="clear" w:pos="960"/>
          <w:tab w:val="clear" w:pos="1920"/>
          <w:tab w:val="clear" w:pos="2880"/>
          <w:tab w:val="clear" w:pos="3840"/>
          <w:tab w:val="clear" w:pos="9096"/>
        </w:tabs>
        <w:rPr>
          <w:sz w:val="22"/>
          <w:szCs w:val="22"/>
        </w:rPr>
      </w:pPr>
      <w:r>
        <w:rPr>
          <w:rFonts w:hint="eastAsia"/>
          <w:sz w:val="22"/>
          <w:szCs w:val="22"/>
        </w:rPr>
        <w:t>本共同研究は、以下のいずれかの事由が生じた時点において、終了するものとする。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1</w:t>
      </w:r>
      <w:r>
        <w:rPr>
          <w:rFonts w:hint="eastAsia"/>
          <w:sz w:val="22"/>
          <w:szCs w:val="22"/>
        </w:rPr>
        <w:t>）契約項目表</w:t>
      </w:r>
      <w:r>
        <w:rPr>
          <w:rFonts w:hint="eastAsia"/>
          <w:sz w:val="22"/>
          <w:szCs w:val="22"/>
        </w:rPr>
        <w:t>6</w:t>
      </w:r>
      <w:r>
        <w:rPr>
          <w:rFonts w:hint="eastAsia"/>
          <w:sz w:val="22"/>
          <w:szCs w:val="22"/>
        </w:rPr>
        <w:t>．記載の研究期間が満了した場合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2</w:t>
      </w:r>
      <w:r>
        <w:rPr>
          <w:rFonts w:hint="eastAsia"/>
          <w:sz w:val="22"/>
          <w:szCs w:val="22"/>
        </w:rPr>
        <w:t>）研究期間満了前の共同研究が完了した場合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3</w:t>
      </w:r>
      <w:r>
        <w:rPr>
          <w:rFonts w:hint="eastAsia"/>
          <w:sz w:val="22"/>
          <w:szCs w:val="22"/>
        </w:rPr>
        <w:t>）第</w:t>
      </w:r>
      <w:r>
        <w:rPr>
          <w:rFonts w:hint="eastAsia"/>
          <w:sz w:val="22"/>
          <w:szCs w:val="22"/>
        </w:rPr>
        <w:t>24</w:t>
      </w:r>
      <w:r>
        <w:rPr>
          <w:rFonts w:hint="eastAsia"/>
          <w:sz w:val="22"/>
          <w:szCs w:val="22"/>
        </w:rPr>
        <w:t>条により、本契約が解除された場合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4</w:t>
      </w:r>
      <w:r>
        <w:rPr>
          <w:rFonts w:hint="eastAsia"/>
          <w:sz w:val="22"/>
          <w:szCs w:val="22"/>
        </w:rPr>
        <w:t>）甲及び乙が本共同研究の終了を合意した場合</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11</w:t>
      </w:r>
      <w:r>
        <w:rPr>
          <w:rFonts w:hint="eastAsia"/>
          <w:b/>
          <w:sz w:val="22"/>
          <w:szCs w:val="22"/>
        </w:rPr>
        <w:t>条（研究の中止に伴う研究経費の取扱）</w:t>
      </w:r>
    </w:p>
    <w:p>
      <w:pPr>
        <w:tabs>
          <w:tab w:val="clear" w:pos="960"/>
          <w:tab w:val="clear" w:pos="1920"/>
          <w:tab w:val="clear" w:pos="2880"/>
          <w:tab w:val="clear" w:pos="3840"/>
          <w:tab w:val="clear" w:pos="9096"/>
        </w:tabs>
        <w:rPr>
          <w:sz w:val="22"/>
          <w:szCs w:val="22"/>
        </w:rPr>
      </w:pPr>
      <w:r>
        <w:rPr>
          <w:rFonts w:hint="eastAsia"/>
          <w:sz w:val="22"/>
          <w:szCs w:val="22"/>
        </w:rPr>
        <w:t>第９条（研究の中止又は期間の延長）の規定又は本契約の解除により、本共同研究を中止した場合において、第５条の規定により支払われた研究経費の額に不用が生じた場合は、乙は甲に不用となった額の返還を請求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12</w:t>
      </w:r>
      <w:r>
        <w:rPr>
          <w:rFonts w:hint="eastAsia"/>
          <w:b/>
          <w:sz w:val="22"/>
          <w:szCs w:val="22"/>
        </w:rPr>
        <w:t>条（研究の終了に伴う実績報告書の作成）</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甲及び乙は、双方協力して、本共同研究の実施期間中に得られた本研究成果について報告書を、本共同研究完了の翌日から［　　］日以内にとりまとめるものとする。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13</w:t>
      </w:r>
      <w:r>
        <w:rPr>
          <w:rFonts w:hint="eastAsia"/>
          <w:b/>
          <w:sz w:val="22"/>
          <w:szCs w:val="22"/>
          <w:highlight w:val="yellow"/>
        </w:rPr>
        <w:t>条（知的財産権の帰属）</w:t>
      </w:r>
    </w:p>
    <w:p>
      <w:pPr>
        <w:tabs>
          <w:tab w:val="clear" w:pos="960"/>
          <w:tab w:val="clear" w:pos="1920"/>
          <w:tab w:val="clear" w:pos="2880"/>
          <w:tab w:val="clear" w:pos="3840"/>
          <w:tab w:val="clear" w:pos="9096"/>
        </w:tabs>
        <w:rPr>
          <w:sz w:val="22"/>
          <w:szCs w:val="22"/>
        </w:rPr>
      </w:pPr>
      <w:r>
        <w:rPr>
          <w:rFonts w:hint="eastAsia"/>
          <w:sz w:val="22"/>
          <w:szCs w:val="22"/>
        </w:rPr>
        <w:t>1</w:t>
      </w:r>
      <w:r>
        <w:rPr>
          <w:rFonts w:hint="eastAsia"/>
          <w:sz w:val="22"/>
          <w:szCs w:val="22"/>
        </w:rPr>
        <w:t xml:space="preserve">　本共同研究に伴い得られた発明等（以下「本発明等」という。）に関する知的財産権（以下「本知的財産権」という。）は、乙に帰属するものとする。</w:t>
      </w:r>
    </w:p>
    <w:p>
      <w:pPr>
        <w:tabs>
          <w:tab w:val="clear" w:pos="960"/>
          <w:tab w:val="clear" w:pos="1920"/>
          <w:tab w:val="clear" w:pos="2880"/>
          <w:tab w:val="clear" w:pos="3840"/>
          <w:tab w:val="clear" w:pos="9096"/>
        </w:tabs>
        <w:rPr>
          <w:sz w:val="22"/>
          <w:szCs w:val="22"/>
        </w:rPr>
      </w:pPr>
      <w:r>
        <w:rPr>
          <w:rFonts w:hint="eastAsia"/>
          <w:sz w:val="22"/>
          <w:szCs w:val="22"/>
        </w:rPr>
        <w:t>2</w:t>
      </w:r>
      <w:r>
        <w:rPr>
          <w:rFonts w:hint="eastAsia"/>
          <w:sz w:val="22"/>
          <w:szCs w:val="22"/>
        </w:rPr>
        <w:t xml:space="preserve">　甲及び乙は、本知的財産について、それぞれの規則等により、当該発明等を得た研究担当者等から、当該発明等に関する知的財産権の承継を受け、乙に移転するものとする。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14</w:t>
      </w:r>
      <w:r>
        <w:rPr>
          <w:rFonts w:hint="eastAsia"/>
          <w:b/>
          <w:sz w:val="22"/>
          <w:szCs w:val="22"/>
          <w:highlight w:val="yellow"/>
        </w:rPr>
        <w:t>条（本発明等の実施）</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乙は、本発明等を自己のために実施及び第三者に実施許諾することができる。ただし、実施及び実施許諾の際には、第</w:t>
      </w:r>
      <w:r>
        <w:rPr>
          <w:rFonts w:hint="eastAsia"/>
          <w:sz w:val="22"/>
          <w:szCs w:val="22"/>
        </w:rPr>
        <w:t>19</w:t>
      </w:r>
      <w:r>
        <w:rPr>
          <w:rFonts w:hint="eastAsia"/>
          <w:sz w:val="22"/>
          <w:szCs w:val="22"/>
        </w:rPr>
        <w:t>条に定めるノウハウ秘匿義務及び第</w:t>
      </w:r>
      <w:r>
        <w:rPr>
          <w:rFonts w:hint="eastAsia"/>
          <w:sz w:val="22"/>
          <w:szCs w:val="22"/>
        </w:rPr>
        <w:t>20</w:t>
      </w:r>
      <w:r>
        <w:rPr>
          <w:rFonts w:hint="eastAsia"/>
          <w:sz w:val="22"/>
          <w:szCs w:val="22"/>
        </w:rPr>
        <w:t>条に定める秘密保持義務を遵守するものとする。</w:t>
      </w:r>
    </w:p>
    <w:p>
      <w:pPr>
        <w:tabs>
          <w:tab w:val="clear" w:pos="960"/>
          <w:tab w:val="clear" w:pos="1920"/>
          <w:tab w:val="clear" w:pos="2880"/>
          <w:tab w:val="clear" w:pos="3840"/>
          <w:tab w:val="clear" w:pos="9096"/>
        </w:tabs>
        <w:ind w:firstLineChars="109" w:firstLine="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lastRenderedPageBreak/>
        <w:t>第</w:t>
      </w:r>
      <w:r>
        <w:rPr>
          <w:rFonts w:hint="eastAsia"/>
          <w:b/>
          <w:sz w:val="22"/>
          <w:szCs w:val="22"/>
          <w:highlight w:val="yellow"/>
        </w:rPr>
        <w:t>15</w:t>
      </w:r>
      <w:r>
        <w:rPr>
          <w:rFonts w:hint="eastAsia"/>
          <w:b/>
          <w:sz w:val="22"/>
          <w:szCs w:val="22"/>
          <w:highlight w:val="yellow"/>
        </w:rPr>
        <w:t>条（本発明等の実施許諾）</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乙は、甲に対し、本共同研究その他の研究目的で本発明等を無償で非独占的に実施する権利を許諾する。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16</w:t>
      </w:r>
      <w:r>
        <w:rPr>
          <w:rFonts w:hint="eastAsia"/>
          <w:b/>
          <w:sz w:val="22"/>
          <w:szCs w:val="22"/>
          <w:highlight w:val="yellow"/>
        </w:rPr>
        <w:t>条（知的財産権の出願等）</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本知的財産権の出願は、乙が単独で出願するものとする。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17</w:t>
      </w:r>
      <w:r>
        <w:rPr>
          <w:rFonts w:hint="eastAsia"/>
          <w:b/>
          <w:sz w:val="22"/>
          <w:szCs w:val="22"/>
          <w:highlight w:val="yellow"/>
        </w:rPr>
        <w:t>条（外国における出願等）</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本知的財産権の外国における出願については、前条に準じるものとする。</w:t>
      </w:r>
      <w:r>
        <w:rPr>
          <w:rFonts w:hint="eastAsia"/>
          <w:sz w:val="22"/>
          <w:szCs w:val="22"/>
        </w:rPr>
        <w:tab/>
      </w:r>
    </w:p>
    <w:p>
      <w:pPr>
        <w:tabs>
          <w:tab w:val="clear" w:pos="960"/>
          <w:tab w:val="clear" w:pos="1920"/>
          <w:tab w:val="clear" w:pos="2880"/>
          <w:tab w:val="clear" w:pos="3840"/>
          <w:tab w:val="clear" w:pos="9096"/>
        </w:tabs>
        <w:ind w:firstLineChars="109" w:firstLine="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18</w:t>
      </w:r>
      <w:r>
        <w:rPr>
          <w:rFonts w:hint="eastAsia"/>
          <w:b/>
          <w:sz w:val="22"/>
          <w:szCs w:val="22"/>
          <w:highlight w:val="yellow"/>
        </w:rPr>
        <w:t>条（出願等費用）</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前</w:t>
      </w:r>
      <w:r>
        <w:rPr>
          <w:rFonts w:hint="eastAsia"/>
          <w:sz w:val="22"/>
          <w:szCs w:val="22"/>
        </w:rPr>
        <w:t>2</w:t>
      </w:r>
      <w:r>
        <w:rPr>
          <w:rFonts w:hint="eastAsia"/>
          <w:sz w:val="22"/>
          <w:szCs w:val="22"/>
        </w:rPr>
        <w:t>条の出願に関する出願等費用は、乙が負担するものとする。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19</w:t>
      </w:r>
      <w:r>
        <w:rPr>
          <w:rFonts w:hint="eastAsia"/>
          <w:b/>
          <w:sz w:val="22"/>
          <w:szCs w:val="22"/>
          <w:highlight w:val="yellow"/>
        </w:rPr>
        <w:t>条（ノウハウ及びプログラム、データ等）</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本共同研究の結果、ノウハウに該当するものが生じた場合は、速やかに相手方に通知し、協議の上、書面にて特定するものとする。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特定されたノウハウは、特定の日から契約項目表</w:t>
      </w:r>
      <w:r>
        <w:rPr>
          <w:rFonts w:hint="eastAsia"/>
          <w:sz w:val="22"/>
          <w:szCs w:val="22"/>
        </w:rPr>
        <w:t>9.</w:t>
      </w:r>
      <w:r>
        <w:rPr>
          <w:rFonts w:hint="eastAsia"/>
          <w:sz w:val="22"/>
          <w:szCs w:val="22"/>
        </w:rPr>
        <w:t>記載の期間まで、秘密として保持し、相手方の書面による承諾なく、第三者に開示してはならない。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特定されたノウハウ及び本共同研究から生じたプログラム等の取り扱いについては、第</w:t>
      </w:r>
      <w:r>
        <w:rPr>
          <w:rFonts w:hint="eastAsia"/>
          <w:sz w:val="22"/>
          <w:szCs w:val="22"/>
        </w:rPr>
        <w:t>13</w:t>
      </w:r>
      <w:r>
        <w:rPr>
          <w:rFonts w:hint="eastAsia"/>
          <w:sz w:val="22"/>
          <w:szCs w:val="22"/>
        </w:rPr>
        <w:t>条から第</w:t>
      </w:r>
      <w:r>
        <w:rPr>
          <w:rFonts w:hint="eastAsia"/>
          <w:sz w:val="22"/>
          <w:szCs w:val="22"/>
        </w:rPr>
        <w:t>18</w:t>
      </w:r>
      <w:r>
        <w:rPr>
          <w:rFonts w:hint="eastAsia"/>
          <w:sz w:val="22"/>
          <w:szCs w:val="22"/>
        </w:rPr>
        <w:t>条に定める本知的財産権の取り扱いに準じ、甲乙別途協議の上決定するものとする。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4</w:t>
      </w:r>
      <w:r>
        <w:rPr>
          <w:rFonts w:hint="eastAsia"/>
          <w:sz w:val="22"/>
          <w:szCs w:val="22"/>
        </w:rPr>
        <w:t xml:space="preserve">　当事者提供データについては当該データを提供した各本当事者がそれぞれ利用権限を有し、また、本成果データについては別紙に定めるとおりデータの利用権限を有するものとし、かかる利用権限の内容は、別紙においてデータ毎にそれぞれ定める。但し、別紙において特段の定めがないときは、各当事者は、他の当事者が提供した当事者提供データ及び本成果データについて本研究の目的で利用するための利用権限を有するものとする。なお、各本当事者は、自己が提供した当事者提供データ及び本成果データの有用性及び正確性について保証せず、何らの責任も負わ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20</w:t>
      </w:r>
      <w:r>
        <w:rPr>
          <w:rFonts w:hint="eastAsia"/>
          <w:b/>
          <w:sz w:val="22"/>
          <w:szCs w:val="22"/>
          <w:highlight w:val="yellow"/>
        </w:rPr>
        <w:t>条（秘密保持）</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及び乙は、本共同研究の実施に当たり、相手方より開示又は提供を受けた技術上及び営業上の情報のうち、提供又は開示の際に相手方より秘密である旨の表示が明記され、又は口頭で開示されかつ開示に際し秘密である旨明示され開示後</w:t>
      </w:r>
      <w:r>
        <w:rPr>
          <w:rFonts w:hint="eastAsia"/>
          <w:sz w:val="22"/>
          <w:szCs w:val="22"/>
        </w:rPr>
        <w:t>30</w:t>
      </w:r>
      <w:r>
        <w:rPr>
          <w:rFonts w:hint="eastAsia"/>
          <w:sz w:val="22"/>
          <w:szCs w:val="22"/>
        </w:rPr>
        <w:t>日以内に書面で相手方に対して通知されたもの（以下「秘密情報」という。）について、第</w:t>
      </w:r>
      <w:r>
        <w:rPr>
          <w:rFonts w:hint="eastAsia"/>
          <w:sz w:val="22"/>
          <w:szCs w:val="22"/>
        </w:rPr>
        <w:t>4</w:t>
      </w:r>
      <w:r>
        <w:rPr>
          <w:rFonts w:hint="eastAsia"/>
          <w:sz w:val="22"/>
          <w:szCs w:val="22"/>
        </w:rPr>
        <w:t>条に指定する研究担当者以外に開示・漏洩してはならない。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）開示又は提供を受けた際、既に自己が保有していたことを証明できる情報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）開示又は提供を受けた際、既に公知となっている情報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）開示又は提供を受けた後、自己の責めによらずに公知となった情報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4</w:t>
      </w:r>
      <w:r>
        <w:rPr>
          <w:rFonts w:hint="eastAsia"/>
          <w:sz w:val="22"/>
          <w:szCs w:val="22"/>
        </w:rPr>
        <w:t>）正当な権限を有する第三者から適法に取得したことを証明できる内容</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lastRenderedPageBreak/>
        <w:t>（</w:t>
      </w:r>
      <w:r>
        <w:rPr>
          <w:sz w:val="22"/>
          <w:szCs w:val="22"/>
        </w:rPr>
        <w:t>5</w:t>
      </w:r>
      <w:r>
        <w:rPr>
          <w:rFonts w:hint="eastAsia"/>
          <w:sz w:val="22"/>
          <w:szCs w:val="22"/>
        </w:rPr>
        <w:t>）相手方から開示又は提供された情報によることなく独自に開発・取得していたことを証明できる情報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6</w:t>
      </w:r>
      <w:r>
        <w:rPr>
          <w:rFonts w:hint="eastAsia"/>
          <w:sz w:val="22"/>
          <w:szCs w:val="22"/>
        </w:rPr>
        <w:t>）書面により事前に相手方の同意を得たもの</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甲及び乙は、秘密情報を本共同研究以外の目的に使用してはならない。ただし、書面により事前に相手方の同意を得た場合はこの限りではない。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前</w:t>
      </w:r>
      <w:r>
        <w:rPr>
          <w:sz w:val="22"/>
          <w:szCs w:val="22"/>
        </w:rPr>
        <w:t>2</w:t>
      </w:r>
      <w:r>
        <w:rPr>
          <w:rFonts w:hint="eastAsia"/>
          <w:sz w:val="22"/>
          <w:szCs w:val="22"/>
        </w:rPr>
        <w:t>項の有効期間は、第</w:t>
      </w:r>
      <w:r>
        <w:rPr>
          <w:rFonts w:hint="eastAsia"/>
          <w:sz w:val="22"/>
          <w:szCs w:val="22"/>
        </w:rPr>
        <w:t>3</w:t>
      </w:r>
      <w:r>
        <w:rPr>
          <w:rFonts w:hint="eastAsia"/>
          <w:sz w:val="22"/>
          <w:szCs w:val="22"/>
        </w:rPr>
        <w:t>条の本共同研究開始の日から契約項目表</w:t>
      </w:r>
      <w:r>
        <w:rPr>
          <w:rFonts w:hint="eastAsia"/>
          <w:sz w:val="22"/>
          <w:szCs w:val="22"/>
        </w:rPr>
        <w:t>10.</w:t>
      </w:r>
      <w:r>
        <w:rPr>
          <w:rFonts w:hint="eastAsia"/>
          <w:sz w:val="22"/>
          <w:szCs w:val="22"/>
        </w:rPr>
        <w:t>記載の期間までとする。ただし、甲乙協議の上、この期間を延長し、又は短縮することができるものとする。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firstLineChars="100" w:firstLine="22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21</w:t>
      </w:r>
      <w:r>
        <w:rPr>
          <w:rFonts w:hint="eastAsia"/>
          <w:b/>
          <w:sz w:val="22"/>
          <w:szCs w:val="22"/>
          <w:highlight w:val="yellow"/>
        </w:rPr>
        <w:t>条（本研究成果の公表）</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本研究成果は原則として、公表する。ただし、公表に当たっては、第</w:t>
      </w:r>
      <w:r>
        <w:rPr>
          <w:rFonts w:hint="eastAsia"/>
          <w:sz w:val="22"/>
          <w:szCs w:val="22"/>
        </w:rPr>
        <w:t>19</w:t>
      </w:r>
      <w:r>
        <w:rPr>
          <w:rFonts w:hint="eastAsia"/>
          <w:sz w:val="22"/>
          <w:szCs w:val="22"/>
        </w:rPr>
        <w:t>条のノウハウ秘匿義務及び第</w:t>
      </w:r>
      <w:r>
        <w:rPr>
          <w:rFonts w:hint="eastAsia"/>
          <w:sz w:val="22"/>
          <w:szCs w:val="22"/>
        </w:rPr>
        <w:t>20</w:t>
      </w:r>
      <w:r>
        <w:rPr>
          <w:rFonts w:hint="eastAsia"/>
          <w:sz w:val="22"/>
          <w:szCs w:val="22"/>
        </w:rPr>
        <w:t>条の秘密保持義務を遵守するものとする。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甲は、公表の［　　］日前までに、公表の目的・場所及び内容を、書面にて乙に通知する。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乙は、公表により、乙の利益が著しく害されるおそれがあると判断した場合、前項の通知を受領してから［　　］日以内に甲に書面にてその旨を通知し、甲は乙と協議の上、公表範囲及び方法を決定するものとする。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4</w:t>
      </w:r>
      <w:r>
        <w:rPr>
          <w:rFonts w:hint="eastAsia"/>
          <w:sz w:val="22"/>
          <w:szCs w:val="22"/>
        </w:rPr>
        <w:t xml:space="preserve">　本共同研究終了日の翌日から起算して［　］年間を経過した後は、甲は、第</w:t>
      </w:r>
      <w:r>
        <w:rPr>
          <w:rFonts w:hint="eastAsia"/>
          <w:sz w:val="22"/>
          <w:szCs w:val="22"/>
        </w:rPr>
        <w:t>19</w:t>
      </w:r>
      <w:r>
        <w:rPr>
          <w:rFonts w:hint="eastAsia"/>
          <w:sz w:val="22"/>
          <w:szCs w:val="22"/>
        </w:rPr>
        <w:t>条のノウハウ秘匿義務及び第</w:t>
      </w:r>
      <w:r>
        <w:rPr>
          <w:rFonts w:hint="eastAsia"/>
          <w:sz w:val="22"/>
          <w:szCs w:val="22"/>
        </w:rPr>
        <w:t>20</w:t>
      </w:r>
      <w:r>
        <w:rPr>
          <w:rFonts w:hint="eastAsia"/>
          <w:sz w:val="22"/>
          <w:szCs w:val="22"/>
        </w:rPr>
        <w:t>条の秘密保持義務を遵守した上で、乙に対する通知を行うことなく、本研究成果の公表を行うことができるものとする。ただし、甲乙協議の上、この期間を延長し、又は短縮することができるものとする。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5</w:t>
      </w:r>
      <w:r>
        <w:rPr>
          <w:rFonts w:hint="eastAsia"/>
          <w:sz w:val="22"/>
          <w:szCs w:val="22"/>
        </w:rPr>
        <w:t xml:space="preserve">　甲及び乙は、事前に書面による相手方の同意を得たときは、本研究成果の発表又は公開若しくは公表を行う際に、当該本研究成果が本共同研究において得られたものである旨を表示することができる。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22</w:t>
      </w:r>
      <w:r>
        <w:rPr>
          <w:rFonts w:hint="eastAsia"/>
          <w:b/>
          <w:sz w:val="22"/>
          <w:szCs w:val="22"/>
        </w:rPr>
        <w:t>条（譲渡禁止）</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甲及び乙は、事前に書面による相手方の同意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23</w:t>
      </w:r>
      <w:r>
        <w:rPr>
          <w:rFonts w:hint="eastAsia"/>
          <w:b/>
          <w:sz w:val="22"/>
          <w:szCs w:val="22"/>
        </w:rPr>
        <w:t>条（有効期間）</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本契約の有効期間は、本共同研究の研究期間と同一とする。</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本契約の失効後も、第</w:t>
      </w:r>
      <w:r>
        <w:rPr>
          <w:rFonts w:hint="eastAsia"/>
          <w:sz w:val="22"/>
          <w:szCs w:val="22"/>
        </w:rPr>
        <w:t>19</w:t>
      </w:r>
      <w:r>
        <w:rPr>
          <w:rFonts w:hint="eastAsia"/>
          <w:sz w:val="22"/>
          <w:szCs w:val="22"/>
        </w:rPr>
        <w:t>条、第</w:t>
      </w:r>
      <w:r>
        <w:rPr>
          <w:rFonts w:hint="eastAsia"/>
          <w:sz w:val="22"/>
          <w:szCs w:val="22"/>
        </w:rPr>
        <w:t>20</w:t>
      </w:r>
      <w:r>
        <w:rPr>
          <w:rFonts w:hint="eastAsia"/>
          <w:sz w:val="22"/>
          <w:szCs w:val="22"/>
        </w:rPr>
        <w:t>条、第</w:t>
      </w:r>
      <w:r>
        <w:rPr>
          <w:rFonts w:hint="eastAsia"/>
          <w:sz w:val="22"/>
          <w:szCs w:val="22"/>
        </w:rPr>
        <w:t>26</w:t>
      </w:r>
      <w:r>
        <w:rPr>
          <w:rFonts w:hint="eastAsia"/>
          <w:sz w:val="22"/>
          <w:szCs w:val="22"/>
        </w:rPr>
        <w:t>条、第</w:t>
      </w:r>
      <w:r>
        <w:rPr>
          <w:rFonts w:hint="eastAsia"/>
          <w:sz w:val="22"/>
          <w:szCs w:val="22"/>
        </w:rPr>
        <w:t>27</w:t>
      </w:r>
      <w:r>
        <w:rPr>
          <w:rFonts w:hint="eastAsia"/>
          <w:sz w:val="22"/>
          <w:szCs w:val="22"/>
        </w:rPr>
        <w:t>条の規定は、有効に存続する。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24</w:t>
      </w:r>
      <w:r>
        <w:rPr>
          <w:rFonts w:hint="eastAsia"/>
          <w:b/>
          <w:sz w:val="22"/>
          <w:szCs w:val="22"/>
        </w:rPr>
        <w:t>条（解除）</w:t>
      </w:r>
      <w:r>
        <w:rPr>
          <w:rFonts w:hint="eastAsia"/>
          <w:b/>
          <w:sz w:val="22"/>
          <w:szCs w:val="22"/>
        </w:rPr>
        <w:tab/>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甲及び乙は、次の各号のいずれかに該当し、催告後</w:t>
      </w:r>
      <w:r>
        <w:rPr>
          <w:rFonts w:hint="eastAsia"/>
          <w:sz w:val="22"/>
          <w:szCs w:val="22"/>
        </w:rPr>
        <w:t>30</w:t>
      </w:r>
      <w:r>
        <w:rPr>
          <w:rFonts w:hint="eastAsia"/>
          <w:sz w:val="22"/>
          <w:szCs w:val="22"/>
        </w:rPr>
        <w:t>日以内にかかる事態が是正されない場合は、直ちに本契約を解除することができるものとする。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）相手方が本契約の締結又は履行に関し、不正又は不当の行為をしたとき</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）相手方が本契約に違反したとき</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甲は、乙が次の各号のいずれかに該当したときは、何らの催告を要せず、直ちに本契約を解除することができる。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）破産手続、民事再生手続、会社更生手続、特別清算手続の申立てをし、又は申立てを受けた場合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）銀行取引停止処分を受け、又は支払い停止に陥った場合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）仮差押命令を受け、又は公租公課の滞納処分を受けた場合</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25</w:t>
      </w:r>
      <w:r>
        <w:rPr>
          <w:rFonts w:hint="eastAsia"/>
          <w:b/>
          <w:sz w:val="22"/>
          <w:szCs w:val="22"/>
        </w:rPr>
        <w:t>条（反社会的勢力の排除）</w:t>
      </w:r>
    </w:p>
    <w:p>
      <w:pPr>
        <w:tabs>
          <w:tab w:val="clear" w:pos="960"/>
          <w:tab w:val="clear" w:pos="1920"/>
          <w:tab w:val="clear" w:pos="2880"/>
          <w:tab w:val="clear" w:pos="3840"/>
          <w:tab w:val="clear" w:pos="9096"/>
        </w:tabs>
        <w:rPr>
          <w:sz w:val="22"/>
          <w:szCs w:val="22"/>
        </w:rPr>
      </w:pPr>
      <w:r>
        <w:rPr>
          <w:rFonts w:hint="eastAsia"/>
          <w:sz w:val="22"/>
          <w:szCs w:val="22"/>
        </w:rPr>
        <w:t xml:space="preserve">　甲及び乙（法人の場合にあっては、その役員又は使用人を含む。）は、相手方に対し、次の各号の事項を表明し、保証する。</w:t>
      </w:r>
    </w:p>
    <w:p>
      <w:pPr>
        <w:tabs>
          <w:tab w:val="clear" w:pos="960"/>
          <w:tab w:val="clear" w:pos="1920"/>
          <w:tab w:val="clear" w:pos="2880"/>
          <w:tab w:val="clear" w:pos="3840"/>
          <w:tab w:val="clear" w:pos="9096"/>
        </w:tabs>
        <w:rPr>
          <w:sz w:val="22"/>
          <w:szCs w:val="22"/>
        </w:rPr>
      </w:pPr>
      <w:r>
        <w:rPr>
          <w:rFonts w:hint="eastAsia"/>
          <w:sz w:val="22"/>
          <w:szCs w:val="22"/>
        </w:rPr>
        <w:t xml:space="preserve">　①　自らが、暴力団、暴力団員、暴力団準構成員、暴力団員でなくなったときから</w:t>
      </w:r>
      <w:r>
        <w:rPr>
          <w:rFonts w:hint="eastAsia"/>
          <w:sz w:val="22"/>
          <w:szCs w:val="22"/>
        </w:rPr>
        <w:t>5</w:t>
      </w:r>
      <w:r>
        <w:rPr>
          <w:rFonts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pPr>
        <w:tabs>
          <w:tab w:val="clear" w:pos="960"/>
          <w:tab w:val="clear" w:pos="1920"/>
          <w:tab w:val="clear" w:pos="2880"/>
          <w:tab w:val="clear" w:pos="3840"/>
          <w:tab w:val="clear" w:pos="9096"/>
        </w:tabs>
        <w:rPr>
          <w:sz w:val="22"/>
          <w:szCs w:val="22"/>
        </w:rPr>
      </w:pPr>
      <w:r>
        <w:rPr>
          <w:rFonts w:hint="eastAsia"/>
          <w:sz w:val="22"/>
          <w:szCs w:val="22"/>
        </w:rPr>
        <w:t xml:space="preserve">　②　反社会的勢力に自己の名義を利用させ、本契約を締結する者でないこと。</w:t>
      </w:r>
    </w:p>
    <w:p>
      <w:pPr>
        <w:tabs>
          <w:tab w:val="clear" w:pos="960"/>
          <w:tab w:val="clear" w:pos="1920"/>
          <w:tab w:val="clear" w:pos="2880"/>
          <w:tab w:val="clear" w:pos="3840"/>
          <w:tab w:val="clear" w:pos="9096"/>
        </w:tabs>
        <w:rPr>
          <w:sz w:val="22"/>
          <w:szCs w:val="22"/>
        </w:rPr>
      </w:pPr>
      <w:r>
        <w:rPr>
          <w:rFonts w:hint="eastAsia"/>
          <w:sz w:val="22"/>
          <w:szCs w:val="22"/>
        </w:rPr>
        <w:t xml:space="preserve">　③　自ら又は第三者を利用して、次の行為をしないこと</w:t>
      </w:r>
    </w:p>
    <w:p>
      <w:pPr>
        <w:tabs>
          <w:tab w:val="clear" w:pos="960"/>
          <w:tab w:val="clear" w:pos="1920"/>
          <w:tab w:val="clear" w:pos="2880"/>
          <w:tab w:val="clear" w:pos="3840"/>
          <w:tab w:val="clear" w:pos="9096"/>
        </w:tabs>
        <w:rPr>
          <w:sz w:val="22"/>
          <w:szCs w:val="22"/>
        </w:rPr>
      </w:pPr>
      <w:r>
        <w:rPr>
          <w:rFonts w:hint="eastAsia"/>
          <w:sz w:val="22"/>
          <w:szCs w:val="22"/>
        </w:rPr>
        <w:t xml:space="preserve">　　ア　相手方に対する脅迫的な言動又は暴力を用いる行為</w:t>
      </w:r>
    </w:p>
    <w:p>
      <w:pPr>
        <w:tabs>
          <w:tab w:val="clear" w:pos="960"/>
          <w:tab w:val="clear" w:pos="1920"/>
          <w:tab w:val="clear" w:pos="2880"/>
          <w:tab w:val="clear" w:pos="3840"/>
          <w:tab w:val="clear" w:pos="9096"/>
        </w:tabs>
        <w:rPr>
          <w:sz w:val="22"/>
          <w:szCs w:val="22"/>
        </w:rPr>
      </w:pPr>
      <w:r>
        <w:rPr>
          <w:rFonts w:hint="eastAsia"/>
          <w:sz w:val="22"/>
          <w:szCs w:val="22"/>
        </w:rPr>
        <w:t xml:space="preserve">　　イ　偽計又は威力を用いて相手方の業務を妨害し、又は相手方の信用を毀損する行為</w:t>
      </w:r>
    </w:p>
    <w:p>
      <w:pPr>
        <w:tabs>
          <w:tab w:val="clear" w:pos="960"/>
          <w:tab w:val="clear" w:pos="1920"/>
          <w:tab w:val="clear" w:pos="2880"/>
          <w:tab w:val="clear" w:pos="3840"/>
          <w:tab w:val="clear" w:pos="9096"/>
        </w:tabs>
        <w:rPr>
          <w:sz w:val="22"/>
          <w:szCs w:val="22"/>
        </w:rPr>
      </w:pPr>
      <w:r>
        <w:rPr>
          <w:rFonts w:hint="eastAsia"/>
          <w:sz w:val="22"/>
          <w:szCs w:val="22"/>
        </w:rPr>
        <w:t>２　甲又は乙が、次の各号のいずれかに該当した場合は、相手方は、何らの催告なしに本契約を解約することができる。</w:t>
      </w:r>
    </w:p>
    <w:p>
      <w:pPr>
        <w:tabs>
          <w:tab w:val="clear" w:pos="960"/>
          <w:tab w:val="clear" w:pos="1920"/>
          <w:tab w:val="clear" w:pos="2880"/>
          <w:tab w:val="clear" w:pos="3840"/>
          <w:tab w:val="clear" w:pos="9096"/>
        </w:tabs>
        <w:rPr>
          <w:sz w:val="22"/>
          <w:szCs w:val="22"/>
        </w:rPr>
      </w:pPr>
      <w:r>
        <w:rPr>
          <w:rFonts w:hint="eastAsia"/>
          <w:sz w:val="22"/>
          <w:szCs w:val="22"/>
        </w:rPr>
        <w:t xml:space="preserve">　①　前項①の確約に反する申告をしたことが判明した場合</w:t>
      </w:r>
    </w:p>
    <w:p>
      <w:pPr>
        <w:tabs>
          <w:tab w:val="clear" w:pos="960"/>
          <w:tab w:val="clear" w:pos="1920"/>
          <w:tab w:val="clear" w:pos="2880"/>
          <w:tab w:val="clear" w:pos="3840"/>
          <w:tab w:val="clear" w:pos="9096"/>
        </w:tabs>
        <w:rPr>
          <w:sz w:val="22"/>
          <w:szCs w:val="22"/>
        </w:rPr>
      </w:pPr>
      <w:r>
        <w:rPr>
          <w:rFonts w:hint="eastAsia"/>
          <w:sz w:val="22"/>
          <w:szCs w:val="22"/>
        </w:rPr>
        <w:t xml:space="preserve">　②　前項②の確約に反し契約をしたことが判明した場合</w:t>
      </w:r>
    </w:p>
    <w:p>
      <w:pPr>
        <w:tabs>
          <w:tab w:val="clear" w:pos="960"/>
          <w:tab w:val="clear" w:pos="1920"/>
          <w:tab w:val="clear" w:pos="2880"/>
          <w:tab w:val="clear" w:pos="3840"/>
          <w:tab w:val="clear" w:pos="9096"/>
        </w:tabs>
        <w:rPr>
          <w:sz w:val="22"/>
          <w:szCs w:val="22"/>
        </w:rPr>
      </w:pPr>
      <w:r>
        <w:rPr>
          <w:rFonts w:hint="eastAsia"/>
          <w:sz w:val="22"/>
          <w:szCs w:val="22"/>
        </w:rPr>
        <w:t xml:space="preserve">　③　前項③の確約に反する行為をした場合</w:t>
      </w:r>
    </w:p>
    <w:p>
      <w:pPr>
        <w:tabs>
          <w:tab w:val="clear" w:pos="960"/>
          <w:tab w:val="clear" w:pos="1920"/>
          <w:tab w:val="clear" w:pos="2880"/>
          <w:tab w:val="clear" w:pos="3840"/>
          <w:tab w:val="clear" w:pos="9096"/>
        </w:tabs>
        <w:rPr>
          <w:sz w:val="22"/>
          <w:szCs w:val="22"/>
        </w:rPr>
      </w:pPr>
      <w:r>
        <w:rPr>
          <w:rFonts w:hint="eastAsia"/>
          <w:sz w:val="22"/>
          <w:szCs w:val="22"/>
        </w:rPr>
        <w:t>３　甲又は乙は、前項により本契約を解約したことにより相手方に損害が生じたとしても、一切の損害賠償義務を負わないものとする。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26</w:t>
      </w:r>
      <w:r>
        <w:rPr>
          <w:rFonts w:hint="eastAsia"/>
          <w:b/>
          <w:sz w:val="22"/>
          <w:szCs w:val="22"/>
        </w:rPr>
        <w:t>条（損害賠償）</w:t>
      </w:r>
    </w:p>
    <w:p>
      <w:pPr>
        <w:tabs>
          <w:tab w:val="clear" w:pos="960"/>
          <w:tab w:val="clear" w:pos="1920"/>
          <w:tab w:val="clear" w:pos="2880"/>
          <w:tab w:val="clear" w:pos="3840"/>
          <w:tab w:val="clear" w:pos="9096"/>
        </w:tabs>
        <w:rPr>
          <w:sz w:val="22"/>
          <w:szCs w:val="22"/>
        </w:rPr>
      </w:pPr>
      <w:r>
        <w:rPr>
          <w:rFonts w:hint="eastAsia"/>
          <w:sz w:val="22"/>
          <w:szCs w:val="22"/>
        </w:rPr>
        <w:t xml:space="preserve">　甲又は乙は、前条に掲げる事由、又は相手方の故意又は重大な過失により損害等を被ったときは、相手方に対して被った直接損害に限り賠償請求をできるものとする。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27</w:t>
      </w:r>
      <w:r>
        <w:rPr>
          <w:rFonts w:hint="eastAsia"/>
          <w:b/>
          <w:sz w:val="22"/>
          <w:szCs w:val="22"/>
        </w:rPr>
        <w:t>条（準拠法及び裁判管轄）</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本契約の準拠法は日本法とする。</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本契約に関する紛争については、［　　　］地方裁判所を第一審の専属的合意管轄裁判所とする。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この契約の締結を証するため、本契約書</w:t>
      </w:r>
      <w:r>
        <w:rPr>
          <w:sz w:val="22"/>
          <w:szCs w:val="22"/>
        </w:rPr>
        <w:t>2</w:t>
      </w:r>
      <w:r>
        <w:rPr>
          <w:rFonts w:hint="eastAsia"/>
          <w:sz w:val="22"/>
          <w:szCs w:val="22"/>
        </w:rPr>
        <w:t>通を作成し、甲、乙それぞれ</w:t>
      </w:r>
      <w:r>
        <w:rPr>
          <w:sz w:val="22"/>
          <w:szCs w:val="22"/>
        </w:rPr>
        <w:t>1</w:t>
      </w:r>
      <w:r>
        <w:rPr>
          <w:rFonts w:hint="eastAsia"/>
          <w:sz w:val="22"/>
          <w:szCs w:val="22"/>
        </w:rPr>
        <w:t>通を保管するものとする。</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平成　　年　　月　　日</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（甲）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（乙）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w:t>
      </w:r>
      <w:r>
        <w:rPr>
          <w:rFonts w:hint="eastAsia"/>
          <w:sz w:val="22"/>
          <w:szCs w:val="22"/>
        </w:rPr>
        <w:t xml:space="preserve">　　　　代表取締役</w:t>
      </w:r>
      <w:r>
        <w:rPr>
          <w:rFonts w:hint="eastAsia"/>
          <w:sz w:val="22"/>
          <w:szCs w:val="22"/>
        </w:rPr>
        <w:t xml:space="preserve">       </w:t>
      </w:r>
      <w:r>
        <w:rPr>
          <w:rFonts w:hint="eastAsia"/>
          <w:sz w:val="22"/>
          <w:szCs w:val="22"/>
        </w:rPr>
        <w:t>［　　　　　　］</w:t>
      </w:r>
    </w:p>
    <w:p>
      <w:pPr>
        <w:tabs>
          <w:tab w:val="clear" w:pos="960"/>
          <w:tab w:val="clear" w:pos="1920"/>
          <w:tab w:val="clear" w:pos="2880"/>
          <w:tab w:val="clear" w:pos="3840"/>
          <w:tab w:val="clear" w:pos="9096"/>
        </w:tabs>
        <w:rPr>
          <w:sz w:val="22"/>
          <w:szCs w:val="22"/>
        </w:rPr>
      </w:pPr>
    </w:p>
    <w:sectPr>
      <w:headerReference w:type="even" r:id="rId8"/>
      <w:headerReference w:type="default" r:id="rId9"/>
      <w:footerReference w:type="even" r:id="rId10"/>
      <w:headerReference w:type="first" r:id="rId11"/>
      <w:footerReference w:type="first" r:id="rId12"/>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right"/>
    </w:pPr>
    <w:r>
      <w:rPr>
        <w:rFonts w:hint="eastAsia"/>
      </w:rPr>
      <w:t>類型５（企業帰属）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doNotDisplayPageBoundaries/>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96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pPr>
      <w:adjustRightInd w:val="0"/>
      <w:snapToGrid w:val="0"/>
      <w:jc w:val="right"/>
    </w:pPr>
    <w:rPr>
      <w:sz w:val="18"/>
    </w:rPr>
  </w:style>
  <w:style w:type="character" w:styleId="a7">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8">
    <w:name w:val="Normal Indent"/>
    <w:basedOn w:val="a"/>
    <w:pPr>
      <w:snapToGrid w:val="0"/>
      <w:ind w:leftChars="400" w:left="960"/>
    </w:pPr>
  </w:style>
  <w:style w:type="table" w:styleId="a9">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pPr>
      <w:adjustRightInd w:val="0"/>
      <w:snapToGrid w:val="0"/>
      <w:jc w:val="right"/>
    </w:pPr>
    <w:rPr>
      <w:sz w:val="18"/>
    </w:rPr>
  </w:style>
  <w:style w:type="character" w:styleId="a7">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8">
    <w:name w:val="Normal Indent"/>
    <w:basedOn w:val="a"/>
    <w:pPr>
      <w:snapToGrid w:val="0"/>
      <w:ind w:leftChars="400" w:left="960"/>
    </w:pPr>
  </w:style>
  <w:style w:type="table" w:styleId="a9">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6972</Words>
  <Characters>588</Characters>
  <Application>Microsoft Office Word</Application>
  <DocSecurity>0</DocSecurity>
  <Lines>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類型5</dc:title>
  <dc:creator>文部科学省</dc:creator>
  <cp:lastModifiedBy>AMT</cp:lastModifiedBy>
  <cp:revision>10</cp:revision>
  <cp:lastPrinted>2017-02-16T03:29:00Z</cp:lastPrinted>
  <dcterms:created xsi:type="dcterms:W3CDTF">2017-03-24T06:15:00Z</dcterms:created>
  <dcterms:modified xsi:type="dcterms:W3CDTF">2018-04-16T02:47:00Z</dcterms:modified>
</cp:coreProperties>
</file>