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EastAsia" w:eastAsiaTheme="minorEastAsia" w:hAnsiTheme="minorEastAsia"/>
          <w:b/>
        </w:rPr>
      </w:pPr>
      <w:bookmarkStart w:id="0" w:name="_GoBack"/>
      <w:r>
        <w:rPr>
          <w:rFonts w:asciiTheme="minorEastAsia" w:eastAsiaTheme="minorEastAsia" w:hAnsiTheme="minorEastAsia" w:hint="eastAsia"/>
          <w:b/>
        </w:rPr>
        <w:t>共 同 研 究 契 約 書（案）</w:t>
      </w:r>
    </w:p>
    <w:bookmarkEnd w:id="0"/>
    <w:p>
      <w:pPr>
        <w:rPr>
          <w:rFonts w:asciiTheme="minorEastAsia" w:eastAsiaTheme="minorEastAsia" w:hAnsiTheme="minorEastAsia"/>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19"/>
        <w:gridCol w:w="553"/>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1．研究題目</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3．研究内容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4．研究担当者</w:t>
            </w: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247"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247" w:type="dxa"/>
            <w:gridSpan w:val="3"/>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600"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247" w:type="dxa"/>
            <w:gridSpan w:val="3"/>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600" w:type="dxa"/>
            <w:vMerge/>
            <w:vAlign w:val="center"/>
          </w:tcPr>
          <w:p>
            <w:pPr>
              <w:rPr>
                <w:rFonts w:asciiTheme="minorEastAsia" w:eastAsiaTheme="minorEastAsia" w:hAnsiTheme="minorEastAsia"/>
                <w:sz w:val="22"/>
                <w:szCs w:val="22"/>
              </w:rPr>
            </w:pPr>
          </w:p>
        </w:tc>
        <w:tc>
          <w:tcPr>
            <w:tcW w:w="1247" w:type="dxa"/>
            <w:gridSpan w:val="3"/>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5．研究実施場所</w:t>
            </w:r>
          </w:p>
        </w:tc>
        <w:tc>
          <w:tcPr>
            <w:tcW w:w="6912" w:type="dxa"/>
            <w:gridSpan w:val="9"/>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6．研究期間</w:t>
            </w:r>
          </w:p>
        </w:tc>
        <w:tc>
          <w:tcPr>
            <w:tcW w:w="6912" w:type="dxa"/>
            <w:gridSpan w:val="9"/>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　から　平成　　年   月   日　まで</w:t>
            </w:r>
          </w:p>
        </w:tc>
      </w:tr>
      <w:tr>
        <w:trPr>
          <w:cantSplit/>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7．研究経費の負担</w:t>
            </w:r>
          </w:p>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8．施設及び設備</w:t>
            </w:r>
          </w:p>
        </w:tc>
        <w:tc>
          <w:tcPr>
            <w:tcW w:w="672"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   備</w:t>
            </w:r>
          </w:p>
        </w:tc>
      </w:tr>
      <w:tr>
        <w:trPr>
          <w:cantSplit/>
          <w:trHeight w:val="277"/>
        </w:trPr>
        <w:tc>
          <w:tcPr>
            <w:tcW w:w="2259" w:type="dxa"/>
            <w:gridSpan w:val="2"/>
            <w:vMerge/>
          </w:tcPr>
          <w:p>
            <w:pPr>
              <w:rPr>
                <w:rFonts w:asciiTheme="minorEastAsia" w:eastAsiaTheme="minorEastAsia" w:hAnsiTheme="minorEastAsia"/>
                <w:sz w:val="22"/>
                <w:szCs w:val="22"/>
              </w:rPr>
            </w:pPr>
          </w:p>
        </w:tc>
        <w:tc>
          <w:tcPr>
            <w:tcW w:w="672" w:type="dxa"/>
            <w:gridSpan w:val="2"/>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 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9．ノウハウの秘匿期間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240"/>
        </w:trPr>
        <w:tc>
          <w:tcPr>
            <w:tcW w:w="2378"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tc>
        <w:tc>
          <w:tcPr>
            <w:tcW w:w="553"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trPr>
          <w:cantSplit/>
          <w:trHeight w:val="349"/>
        </w:trPr>
        <w:tc>
          <w:tcPr>
            <w:tcW w:w="2378" w:type="dxa"/>
            <w:gridSpan w:val="3"/>
            <w:vMerge/>
            <w:vAlign w:val="center"/>
          </w:tcPr>
          <w:p>
            <w:pPr>
              <w:rPr>
                <w:rFonts w:asciiTheme="minorEastAsia" w:eastAsiaTheme="minorEastAsia" w:hAnsiTheme="minorEastAsia"/>
                <w:sz w:val="22"/>
                <w:szCs w:val="22"/>
              </w:rPr>
            </w:pPr>
          </w:p>
        </w:tc>
        <w:tc>
          <w:tcPr>
            <w:tcW w:w="553"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・単独帰属（第13条）</w:t>
            </w:r>
          </w:p>
        </w:tc>
      </w:tr>
      <w:tr>
        <w:trPr>
          <w:cantSplit/>
          <w:trHeight w:val="284"/>
        </w:trPr>
        <w:tc>
          <w:tcPr>
            <w:tcW w:w="2378"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12．成果に関する権限（実施権、選択権等）</w:t>
            </w:r>
          </w:p>
        </w:tc>
        <w:tc>
          <w:tcPr>
            <w:tcW w:w="553"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・研究目的の無償・非独占的使用（第15条）</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・乙以外の第三者への使用許諾（第16条）</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・一定期間内に事業化されない場合の譲渡／優先交渉権（第17条）</w:t>
            </w:r>
          </w:p>
        </w:tc>
      </w:tr>
      <w:tr>
        <w:trPr>
          <w:cantSplit/>
          <w:trHeight w:val="509"/>
        </w:trPr>
        <w:tc>
          <w:tcPr>
            <w:tcW w:w="2378" w:type="dxa"/>
            <w:gridSpan w:val="3"/>
            <w:vMerge/>
            <w:vAlign w:val="center"/>
          </w:tcPr>
          <w:p>
            <w:pPr>
              <w:rPr>
                <w:rFonts w:asciiTheme="minorEastAsia" w:eastAsiaTheme="minorEastAsia" w:hAnsiTheme="minorEastAsia"/>
                <w:sz w:val="22"/>
                <w:szCs w:val="22"/>
              </w:rPr>
            </w:pPr>
          </w:p>
        </w:tc>
        <w:tc>
          <w:tcPr>
            <w:tcW w:w="553"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・実施／実施許諾（第14条、第15条）</w:t>
            </w:r>
          </w:p>
        </w:tc>
      </w:tr>
    </w:tbl>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第1条（定義）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著作権法（昭和45年法律第48号）に規定するプログラムの著作物及びデータベースの著作物（以下「プログラム等」という。）に係る著作権並びに外国における上記権利に相当する権利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秘匿することが可能な技術情報であって、かつ、財産的価値のあるものの中から、第21条の規定に基づき特定するもの（以下「ノウハウ」という。）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2条第3項に定める行為、実用新案法第2条第3項に定める行為、意匠法第2条第3項に定める行為、商標法第2条第3項に定める行為、半導体集積回路の回路配置に関する法律第2条第3項に定める行為、種苗法第2条第5項に定める行為、著作物のあらゆる利用行為並びにノウハウの使用をいう。</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第2条（研究題目等）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甲及び乙は、契約項目表1．ないし3．記載の共同研究（以下「本共同研究」という。）を実施するものとする。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第3条（研究期間）</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本共同研究の研究期間は、契約項目表6．記載の期間とする。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第4条（研究担当者）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甲及び乙は、それぞれ、契約項目表4．に掲げる者を本共同研究の研究担当者として本共同研究に参加させるものとする。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甲及び乙は、相手方の同意を得た上で、第1項に定める研究担当者の変更、追加又は削減を行うことができるものとする。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第5条（研究経費の負担及び支払）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甲は、契約項目表7．記載の研究費、乙は、契約項目表7．記載の研究費［及び研究料］を、それぞれ負担するものとする。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乙は、契約項目表7．記載の研究費［及び研究料］を甲が発行する請求書により、当該請求書に定める支払期限までに支払わなければならない。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乙は所定の支払期限までに研究費［及び研究料］を支払わないときは、支払期日の翌日から支払った日までの日数に応じ、その未払額に年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第6条（経理）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第7条（研究経費により取得した設備等）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契約項目表7．記載の研究経費により取得した設備等は、甲に帰属するものとする。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1515"/>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第8条（施設及び設備の提供等）</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甲及び乙は、契約項目表8.に掲げる自己の施設・設備を本共同研究の用に供するものとする。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8.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第9条（研究の中止又は期間の延長）</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延長による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5条第2項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第10条（研究の終了）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）契約項目表6．記載の研究期間が満了した場合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）研究期間満了前の共同研究が完了した場合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）第26条により、本契約が解除された場合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第11条（研究の中止に伴う研究経費の取扱）</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第12条（研究の終了に伴う実績報告書の作成）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13</w:t>
      </w:r>
      <w:r>
        <w:rPr>
          <w:rFonts w:asciiTheme="minorEastAsia" w:eastAsiaTheme="minorEastAsia" w:hAnsiTheme="minorEastAsia" w:hint="eastAsia"/>
          <w:b/>
          <w:sz w:val="22"/>
          <w:szCs w:val="22"/>
          <w:highlight w:val="yellow"/>
        </w:rPr>
        <w:t>条（知的財産権の帰属</w:t>
      </w:r>
      <w:r>
        <w:rPr>
          <w:rFonts w:asciiTheme="minorEastAsia" w:eastAsiaTheme="minorEastAsia" w:hAnsiTheme="minorEastAsia" w:hint="eastAsia"/>
          <w:b/>
          <w:sz w:val="22"/>
          <w:szCs w:val="22"/>
        </w:rPr>
        <w:t>）</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本共同研究に伴い得られた発明等（以下「本発明等」という。）に関する知的財産権（以下「本知的財産権」という。）は、乙に帰属するものとする。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甲及び乙は、本知的財産について、それぞれの規則等により、当該発明等を得た研究担当者等から、当該発明等に関する知的財産権の承継を受け、乙に帰属させるものとする。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乙は、本発明等を自己のために実施することができる。ただし、実施の際には、第21条に定めるノウハウ秘匿義務及び第22条に定める秘密保持義務を遵守するものとする。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lastRenderedPageBreak/>
        <w:t>第15条（本発明等の実施許諾）</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乙は、甲に対し、本共同研究その他の研究目的で本発明等を無償で非独占的に実施する権利を許諾する。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乙は、甲に対し、研究以外の目的においても、次条に定める条件で、甲が本発明等を再許諾することを許諾する。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3  乙は、甲以外の第三者に対し、本発明等の実施を許諾することができる。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第16条（甲の再実施許諾）</w:t>
      </w:r>
    </w:p>
    <w:p>
      <w:pPr>
        <w:tabs>
          <w:tab w:val="clear" w:pos="960"/>
          <w:tab w:val="clear" w:pos="1920"/>
          <w:tab w:val="clear" w:pos="2880"/>
          <w:tab w:val="clear" w:pos="3840"/>
          <w:tab w:val="clear" w:pos="9096"/>
        </w:tabs>
        <w:ind w:left="240"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甲は、乙以外の第三者に対し、当該第三者が研究以外の目的で本発明等を実施することを再許諾することができる。この場合、甲は、再許諾料の</w:t>
      </w:r>
      <w:r>
        <w:rPr>
          <w:rFonts w:asciiTheme="minorEastAsia" w:eastAsiaTheme="minorEastAsia" w:hAnsiTheme="minorEastAsia"/>
          <w:sz w:val="22"/>
          <w:szCs w:val="22"/>
        </w:rPr>
        <w:t>[50%]</w:t>
      </w:r>
      <w:r>
        <w:rPr>
          <w:rFonts w:asciiTheme="minorEastAsia" w:eastAsiaTheme="minorEastAsia" w:hAnsiTheme="minorEastAsia" w:hint="eastAsia"/>
          <w:sz w:val="22"/>
          <w:szCs w:val="22"/>
        </w:rPr>
        <w:t>を乙に支払うものとする。支払い条件は　甲乙協議の上、決定するものとする。</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highlight w:val="yellow"/>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w:t>
      </w:r>
      <w:r>
        <w:rPr>
          <w:rFonts w:asciiTheme="minorEastAsia" w:eastAsiaTheme="minorEastAsia" w:hAnsiTheme="minorEastAsia" w:hint="eastAsia"/>
          <w:b/>
          <w:sz w:val="22"/>
          <w:szCs w:val="22"/>
          <w:highlight w:val="yellow"/>
        </w:rPr>
        <w:t>7条（本研究成果の事業化）</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乙は、本研究成果について出願等を行なった日又は本共同研究終了日のいずれか早い日から［　　　］年以内に［事業化］する努力をするものとする。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乙は、甲に対し、事業化の進捗状況を、甲の求めに応じて書面にて報告するものとする。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甲は、乙が本研究成果について出願等を行なった日又は本共同研究終了日のいずれか早い日から［　　］年が経過した以後において、乙が、本研究成果が正当な理由なく実施されていないと甲が判断したときは、甲は、乙に対し、書面によりその旨を通知し、次項に定める交渉の開始を求め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甲及び乙は、乙が前項の通知を受領してから最長で［60日／90日］の間（以下「本交渉期間」という。）、乙から甲に対する本研究成果及び本知的財産権の［有償／無償］での［第三者への再許諾権付の独占実施許諾／譲渡］の条件について誠実に交渉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5　乙は、本交渉期間中に、本研究成果又は本知的財産権を第三者に実施許諾又は譲渡しないものとする。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18</w:t>
      </w:r>
      <w:r>
        <w:rPr>
          <w:rFonts w:asciiTheme="minorEastAsia" w:eastAsiaTheme="minorEastAsia" w:hAnsiTheme="minorEastAsia" w:hint="eastAsia"/>
          <w:b/>
          <w:sz w:val="22"/>
          <w:szCs w:val="22"/>
          <w:highlight w:val="yellow"/>
        </w:rPr>
        <w:t>条（知的財産権の出願等）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本知的財産権の出願は、乙が単独で出願するものとする。ただし、甲が本知的財産権を第17条等により取得している場合は甲が単独で出願する。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19</w:t>
      </w:r>
      <w:r>
        <w:rPr>
          <w:rFonts w:asciiTheme="minorEastAsia" w:eastAsiaTheme="minorEastAsia" w:hAnsiTheme="minorEastAsia" w:hint="eastAsia"/>
          <w:b/>
          <w:sz w:val="22"/>
          <w:szCs w:val="22"/>
          <w:highlight w:val="yellow"/>
        </w:rPr>
        <w:t>条（外国における出願等）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本知的財産権の外国における出願については、前条に準じるものとする。</w:t>
      </w:r>
      <w:r>
        <w:rPr>
          <w:rFonts w:asciiTheme="minorEastAsia" w:eastAsiaTheme="minorEastAsia" w:hAnsiTheme="minorEastAsia" w:hint="eastAsia"/>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20</w:t>
      </w:r>
      <w:r>
        <w:rPr>
          <w:rFonts w:asciiTheme="minorEastAsia" w:eastAsiaTheme="minorEastAsia" w:hAnsiTheme="minorEastAsia" w:hint="eastAsia"/>
          <w:b/>
          <w:sz w:val="22"/>
          <w:szCs w:val="22"/>
          <w:highlight w:val="yellow"/>
        </w:rPr>
        <w:t>条（出願等費用）</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前2条の出願に関する出願等費用は、乙が負担するものとする。ただし、甲が、第17条等により本知的財産権を取得している場合は、甲の負担とする。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21</w:t>
      </w:r>
      <w:r>
        <w:rPr>
          <w:rFonts w:asciiTheme="minorEastAsia" w:eastAsiaTheme="minorEastAsia" w:hAnsiTheme="minorEastAsia" w:hint="eastAsia"/>
          <w:b/>
          <w:sz w:val="22"/>
          <w:szCs w:val="22"/>
          <w:highlight w:val="yellow"/>
        </w:rPr>
        <w:t>条（ノウハウ及びプログラム、データ等）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本共同研究の結果、ノウハウに該当するものが生じた場合は、速やかに相手方に通知し、協議の上、書面にて特定するものとする。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特定されたノウハウは、特定の日から契約項目表9.記載の期間まで、秘密として保持し、相手方の書面による承諾なく、第三者に開示してはならない。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lastRenderedPageBreak/>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特定されたノウハウ及び本共同研究から生じたプログラム等の取り扱いについては、第13条から第20条に定める本知的財産権の取り扱いに準じ、甲乙別途協議の上決定するものとする。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22</w:t>
      </w:r>
      <w:r>
        <w:rPr>
          <w:rFonts w:asciiTheme="minorEastAsia" w:eastAsiaTheme="minorEastAsia" w:hAnsiTheme="minorEastAsia" w:hint="eastAsia"/>
          <w:b/>
          <w:sz w:val="22"/>
          <w:szCs w:val="22"/>
          <w:highlight w:val="yellow"/>
        </w:rPr>
        <w:t>条（秘密保持）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rFonts w:asciiTheme="minorEastAsia" w:eastAsiaTheme="minorEastAsia" w:hAnsiTheme="minorEastAsia"/>
          <w:sz w:val="22"/>
          <w:szCs w:val="22"/>
        </w:rPr>
        <w:t>30</w:t>
      </w:r>
      <w:r>
        <w:rPr>
          <w:rFonts w:asciiTheme="minorEastAsia" w:eastAsiaTheme="minorEastAsia" w:hAnsiTheme="minorEastAsia" w:hint="eastAsia"/>
          <w:sz w:val="22"/>
          <w:szCs w:val="22"/>
        </w:rPr>
        <w:t>日以内に書面で相手方に対して通知されたもの（以下「秘密情報」という。）について、第4条に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項の有効期間は、第3条の本共同研究開始の日から契約項目表10.記載の期間までとする。ただし、甲乙協議の上、この期間を延長し、又は短縮することができるものとする。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23</w:t>
      </w:r>
      <w:r>
        <w:rPr>
          <w:rFonts w:asciiTheme="minorEastAsia" w:eastAsiaTheme="minorEastAsia" w:hAnsiTheme="minorEastAsia"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本研究成果は原則として、公表する。ただし、公表に当たっては、第21条のノウハウ秘匿義務及び第22条の秘密保持義務を遵守するものとする。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 xml:space="preserve">　本共同研究終了日の翌日から起算して［　］年間を経過した後は、甲は、第21条のノウハウ秘匿義務及び第22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w:t>
      </w:r>
      <w:r>
        <w:rPr>
          <w:rFonts w:asciiTheme="minorEastAsia" w:eastAsiaTheme="minorEastAsia" w:hAnsiTheme="minorEastAsia" w:hint="eastAsia"/>
          <w:sz w:val="22"/>
          <w:szCs w:val="22"/>
        </w:rPr>
        <w:lastRenderedPageBreak/>
        <w:t>示することができる。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第24条（譲渡禁止）</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第25条（有効期間）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本契約の失効後も、第21条、第22条、第</w:t>
      </w:r>
      <w:r>
        <w:rPr>
          <w:rFonts w:asciiTheme="minorEastAsia" w:eastAsiaTheme="minorEastAsia" w:hAnsiTheme="minorEastAsia"/>
          <w:sz w:val="22"/>
          <w:szCs w:val="22"/>
        </w:rPr>
        <w:t>28</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29</w:t>
      </w:r>
      <w:r>
        <w:rPr>
          <w:rFonts w:asciiTheme="minorEastAsia" w:eastAsiaTheme="minorEastAsia" w:hAnsiTheme="minorEastAsia" w:hint="eastAsia"/>
          <w:sz w:val="22"/>
          <w:szCs w:val="22"/>
        </w:rPr>
        <w:t>条の規定は、有効に存続する。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第26条（解除）</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甲及び乙は、次の各号のいずれかに該当し、催告後30日以内にかかる事態が是正されない場合は、直ちに本契約を解除することができるものとする。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第27条（反社会的勢力の排除）</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w:t>
      </w:r>
      <w:r>
        <w:rPr>
          <w:rFonts w:asciiTheme="minorEastAsia" w:eastAsiaTheme="minorEastAsia" w:hAnsiTheme="minorEastAsia"/>
          <w:sz w:val="22"/>
          <w:szCs w:val="22"/>
        </w:rPr>
        <w:t>5</w:t>
      </w:r>
      <w:r>
        <w:rPr>
          <w:rFonts w:asciiTheme="minorEastAsia" w:eastAsiaTheme="minorEastAsia" w:hAnsiTheme="minorEastAsia"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２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前項③の確約に反する行為をした場合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３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w:t>
      </w:r>
      <w:r>
        <w:rPr>
          <w:rFonts w:asciiTheme="minorEastAsia" w:eastAsiaTheme="minorEastAsia" w:hAnsiTheme="minorEastAsia"/>
          <w:b/>
          <w:sz w:val="22"/>
          <w:szCs w:val="22"/>
        </w:rPr>
        <w:t>28</w:t>
      </w:r>
      <w:r>
        <w:rPr>
          <w:rFonts w:asciiTheme="minorEastAsia" w:eastAsiaTheme="minorEastAsia" w:hAnsiTheme="minorEastAsia" w:hint="eastAsia"/>
          <w:b/>
          <w:sz w:val="22"/>
          <w:szCs w:val="22"/>
        </w:rPr>
        <w:t>条（損害賠償）</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29</w:t>
      </w:r>
      <w:r>
        <w:rPr>
          <w:rFonts w:asciiTheme="minorEastAsia" w:eastAsiaTheme="minorEastAsia" w:hAnsiTheme="minorEastAsia" w:hint="eastAsia"/>
          <w:b/>
          <w:sz w:val="22"/>
          <w:szCs w:val="22"/>
        </w:rPr>
        <w:t>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代表取締役       ［　　　　　　］</w:t>
      </w:r>
    </w:p>
    <w:sectPr>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類型４（企業帰属・大学による他社許諾）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6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6257-B36D-4306-A4DA-A78B7A2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7712</Words>
  <Characters>631</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類型4</dc:title>
  <dc:creator>文部科学省</dc:creator>
  <cp:lastModifiedBy>AMT</cp:lastModifiedBy>
  <cp:revision>11</cp:revision>
  <cp:lastPrinted>2017-02-16T03:28:00Z</cp:lastPrinted>
  <dcterms:created xsi:type="dcterms:W3CDTF">2017-03-24T06:18:00Z</dcterms:created>
  <dcterms:modified xsi:type="dcterms:W3CDTF">2018-04-16T02:47:00Z</dcterms:modified>
</cp:coreProperties>
</file>