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28" w:rsidRPr="005D0CF6" w:rsidRDefault="00B118E8" w:rsidP="00B27B59">
      <w:pPr>
        <w:autoSpaceDE w:val="0"/>
        <w:autoSpaceDN w:val="0"/>
        <w:adjustRightInd w:val="0"/>
        <w:spacing w:line="340" w:lineRule="exact"/>
        <w:jc w:val="center"/>
        <w:rPr>
          <w:rFonts w:ascii="Verdana" w:eastAsia="ＭＳ Ｐ明朝" w:hAnsi="Verdana" w:cs="Arial"/>
          <w:b/>
          <w:color w:val="000000"/>
          <w:kern w:val="24"/>
          <w:sz w:val="24"/>
          <w:szCs w:val="36"/>
        </w:rPr>
      </w:pPr>
      <w:r w:rsidRPr="005D0CF6">
        <w:rPr>
          <w:rFonts w:ascii="Verdana" w:eastAsia="ＭＳ Ｐ明朝" w:hAnsi="Verdana" w:cs="Arial"/>
          <w:b/>
          <w:color w:val="000000"/>
          <w:kern w:val="24"/>
          <w:sz w:val="24"/>
          <w:szCs w:val="36"/>
        </w:rPr>
        <w:t xml:space="preserve">UNOSDP </w:t>
      </w:r>
      <w:r w:rsidR="006B0BA5" w:rsidRPr="005D0CF6">
        <w:rPr>
          <w:rFonts w:ascii="Verdana" w:eastAsia="ＭＳ Ｐ明朝" w:hAnsi="Verdana" w:cs="Arial"/>
          <w:b/>
          <w:color w:val="000000"/>
          <w:kern w:val="24"/>
          <w:sz w:val="24"/>
          <w:szCs w:val="36"/>
        </w:rPr>
        <w:t>ユースリーダーシップキャンプ</w:t>
      </w:r>
      <w:r w:rsidR="006D6EA2" w:rsidRPr="005D0CF6">
        <w:rPr>
          <w:rFonts w:ascii="Verdana" w:eastAsia="ＭＳ Ｐ明朝" w:hAnsi="Verdana" w:cs="Arial"/>
          <w:b/>
          <w:color w:val="000000"/>
          <w:kern w:val="24"/>
          <w:sz w:val="24"/>
          <w:szCs w:val="36"/>
        </w:rPr>
        <w:t>2016</w:t>
      </w:r>
      <w:r w:rsidR="006B0BA5" w:rsidRPr="005D0CF6">
        <w:rPr>
          <w:rFonts w:ascii="Verdana" w:eastAsia="ＭＳ Ｐ明朝" w:hAnsi="Verdana" w:cs="Arial"/>
          <w:b/>
          <w:color w:val="000000"/>
          <w:kern w:val="24"/>
          <w:sz w:val="24"/>
          <w:szCs w:val="36"/>
        </w:rPr>
        <w:t>東北大会</w:t>
      </w:r>
    </w:p>
    <w:p w:rsidR="00854D51" w:rsidRPr="005D0CF6" w:rsidRDefault="00854D51" w:rsidP="00B27B59">
      <w:pPr>
        <w:autoSpaceDE w:val="0"/>
        <w:autoSpaceDN w:val="0"/>
        <w:adjustRightInd w:val="0"/>
        <w:spacing w:line="340" w:lineRule="exact"/>
        <w:jc w:val="center"/>
        <w:rPr>
          <w:rFonts w:ascii="Verdana" w:eastAsia="ＭＳ Ｐ明朝" w:hAnsi="Verdana" w:cs="Arial"/>
          <w:b/>
          <w:color w:val="000000"/>
          <w:kern w:val="24"/>
          <w:sz w:val="24"/>
          <w:szCs w:val="36"/>
        </w:rPr>
      </w:pPr>
    </w:p>
    <w:p w:rsidR="005D0CF6" w:rsidRPr="005D0CF6" w:rsidRDefault="005D0CF6" w:rsidP="00B27B59">
      <w:pPr>
        <w:autoSpaceDE w:val="0"/>
        <w:autoSpaceDN w:val="0"/>
        <w:adjustRightInd w:val="0"/>
        <w:spacing w:line="340" w:lineRule="exact"/>
        <w:jc w:val="center"/>
        <w:rPr>
          <w:rFonts w:ascii="Verdana" w:eastAsia="ＭＳ Ｐ明朝" w:hAnsi="Verdana" w:cs="Arial"/>
          <w:b/>
          <w:color w:val="000000"/>
          <w:kern w:val="24"/>
          <w:sz w:val="24"/>
          <w:szCs w:val="36"/>
        </w:rPr>
      </w:pPr>
    </w:p>
    <w:p w:rsidR="00AE6733" w:rsidRPr="005D0CF6" w:rsidRDefault="008265CC" w:rsidP="00B27B59">
      <w:pPr>
        <w:autoSpaceDE w:val="0"/>
        <w:autoSpaceDN w:val="0"/>
        <w:adjustRightInd w:val="0"/>
        <w:spacing w:line="340" w:lineRule="exact"/>
        <w:rPr>
          <w:rFonts w:ascii="Verdana" w:eastAsia="ＭＳ Ｐ明朝" w:hAnsi="Verdana" w:cs="Arial"/>
          <w:b/>
          <w:color w:val="000000"/>
          <w:kern w:val="24"/>
          <w:sz w:val="22"/>
          <w:szCs w:val="36"/>
        </w:rPr>
      </w:pPr>
      <w:r w:rsidRPr="005D0CF6">
        <w:rPr>
          <w:rFonts w:ascii="Verdana" w:eastAsia="ＭＳ Ｐ明朝" w:hAnsi="Verdana"/>
          <w:noProof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842010" cy="868680"/>
            <wp:effectExtent l="19050" t="0" r="0" b="0"/>
            <wp:wrapSquare wrapText="bothSides"/>
            <wp:docPr id="6" name="図 4" descr="YL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4" descr="YLC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733" w:rsidRPr="005D0CF6">
        <w:rPr>
          <w:rFonts w:ascii="Verdana" w:eastAsia="ＭＳ Ｐ明朝" w:hAnsi="Verdana" w:cs="Arial"/>
          <w:b/>
          <w:color w:val="000000"/>
          <w:kern w:val="24"/>
          <w:sz w:val="22"/>
          <w:szCs w:val="36"/>
        </w:rPr>
        <w:t>UNOSDP</w:t>
      </w:r>
      <w:r w:rsidR="00AE6733" w:rsidRPr="005D0CF6">
        <w:rPr>
          <w:rFonts w:ascii="Verdana" w:eastAsia="ＭＳ Ｐ明朝" w:hAnsi="Verdana" w:cs="Arial"/>
          <w:b/>
          <w:color w:val="000000"/>
          <w:kern w:val="24"/>
          <w:sz w:val="22"/>
          <w:szCs w:val="36"/>
        </w:rPr>
        <w:t xml:space="preserve">　</w:t>
      </w:r>
      <w:r w:rsidR="00AE6733" w:rsidRPr="005D0CF6">
        <w:rPr>
          <w:rFonts w:ascii="Verdana" w:eastAsia="ＭＳ Ｐ明朝" w:hAnsi="Verdana" w:cs="Arial"/>
          <w:b/>
          <w:color w:val="000000"/>
          <w:kern w:val="24"/>
          <w:sz w:val="22"/>
          <w:szCs w:val="36"/>
        </w:rPr>
        <w:t>Youth Leadership Camp</w:t>
      </w:r>
      <w:r w:rsidR="00D378BC" w:rsidRPr="005D0CF6">
        <w:rPr>
          <w:rFonts w:ascii="Verdana" w:eastAsia="ＭＳ Ｐ明朝" w:hAnsi="Verdana" w:cs="Arial"/>
          <w:b/>
          <w:color w:val="000000"/>
          <w:kern w:val="24"/>
          <w:sz w:val="22"/>
          <w:szCs w:val="36"/>
        </w:rPr>
        <w:t xml:space="preserve"> (YLC)</w:t>
      </w:r>
    </w:p>
    <w:p w:rsidR="00AE6733" w:rsidRDefault="00AE6733" w:rsidP="00B27B59">
      <w:pPr>
        <w:autoSpaceDE w:val="0"/>
        <w:autoSpaceDN w:val="0"/>
        <w:adjustRightInd w:val="0"/>
        <w:spacing w:line="340" w:lineRule="exact"/>
        <w:rPr>
          <w:rFonts w:ascii="Verdana" w:eastAsia="ＭＳ Ｐ明朝" w:hAnsi="Verdana" w:cs="Arial" w:hint="eastAsia"/>
          <w:b/>
          <w:color w:val="000000"/>
          <w:kern w:val="24"/>
          <w:sz w:val="22"/>
          <w:szCs w:val="36"/>
        </w:rPr>
      </w:pPr>
      <w:r w:rsidRPr="005D0CF6">
        <w:rPr>
          <w:rFonts w:ascii="Verdana" w:eastAsia="ＭＳ Ｐ明朝" w:hAnsi="Verdana" w:cs="Arial"/>
          <w:b/>
          <w:color w:val="000000"/>
          <w:kern w:val="24"/>
          <w:sz w:val="22"/>
          <w:szCs w:val="36"/>
        </w:rPr>
        <w:t>ユースリーダーシップキャンプ</w:t>
      </w:r>
      <w:r w:rsidRPr="005D0CF6">
        <w:rPr>
          <w:rFonts w:ascii="Verdana" w:eastAsia="ＭＳ Ｐ明朝" w:hAnsi="Verdana" w:cs="Arial"/>
          <w:b/>
          <w:color w:val="000000"/>
          <w:kern w:val="24"/>
          <w:sz w:val="22"/>
          <w:szCs w:val="36"/>
        </w:rPr>
        <w:t xml:space="preserve"> </w:t>
      </w:r>
    </w:p>
    <w:p w:rsidR="00673B55" w:rsidRDefault="00673B55" w:rsidP="00B27B59">
      <w:pPr>
        <w:autoSpaceDE w:val="0"/>
        <w:autoSpaceDN w:val="0"/>
        <w:adjustRightInd w:val="0"/>
        <w:spacing w:line="340" w:lineRule="exact"/>
        <w:rPr>
          <w:rFonts w:ascii="Verdana" w:eastAsia="ＭＳ Ｐ明朝" w:hAnsi="Verdana" w:cs="Arial" w:hint="eastAsia"/>
          <w:b/>
          <w:color w:val="000000"/>
          <w:kern w:val="24"/>
          <w:sz w:val="22"/>
          <w:szCs w:val="36"/>
        </w:rPr>
      </w:pPr>
    </w:p>
    <w:p w:rsidR="00673B55" w:rsidRDefault="00673B55" w:rsidP="00B27B59">
      <w:pPr>
        <w:autoSpaceDE w:val="0"/>
        <w:autoSpaceDN w:val="0"/>
        <w:adjustRightInd w:val="0"/>
        <w:spacing w:line="340" w:lineRule="exact"/>
        <w:rPr>
          <w:rFonts w:ascii="Verdana" w:eastAsia="ＭＳ Ｐ明朝" w:hAnsi="Verdana" w:cs="Arial" w:hint="eastAsia"/>
          <w:b/>
          <w:color w:val="000000"/>
          <w:kern w:val="24"/>
          <w:sz w:val="22"/>
          <w:szCs w:val="36"/>
        </w:rPr>
      </w:pPr>
    </w:p>
    <w:p w:rsidR="00673B55" w:rsidRPr="005D0CF6" w:rsidRDefault="00673B55" w:rsidP="00B27B59">
      <w:pPr>
        <w:autoSpaceDE w:val="0"/>
        <w:autoSpaceDN w:val="0"/>
        <w:adjustRightInd w:val="0"/>
        <w:spacing w:line="340" w:lineRule="exact"/>
        <w:rPr>
          <w:rFonts w:ascii="Verdana" w:eastAsia="ＭＳ Ｐ明朝" w:hAnsi="Verdana" w:cs="Arial"/>
          <w:b/>
          <w:color w:val="000000"/>
          <w:kern w:val="24"/>
          <w:sz w:val="22"/>
          <w:szCs w:val="36"/>
        </w:rPr>
      </w:pPr>
    </w:p>
    <w:p w:rsidR="00854D51" w:rsidRDefault="000E594F" w:rsidP="00524CAF">
      <w:pPr>
        <w:autoSpaceDE w:val="0"/>
        <w:autoSpaceDN w:val="0"/>
        <w:adjustRightInd w:val="0"/>
        <w:spacing w:line="340" w:lineRule="exact"/>
        <w:rPr>
          <w:rFonts w:ascii="Verdana" w:eastAsia="ＭＳ Ｐ明朝" w:hAnsi="Verdana" w:cs="Arial" w:hint="eastAsia"/>
          <w:color w:val="000000"/>
          <w:kern w:val="24"/>
          <w:sz w:val="20"/>
          <w:szCs w:val="36"/>
        </w:rPr>
      </w:pPr>
      <w:r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開発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途上国の各コミュニティにおいて、平和と開発へ向けたスポーツの</w:t>
      </w:r>
      <w:r w:rsidR="00735BF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活動に従事する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18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〜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25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歳の若者を対象</w:t>
      </w:r>
      <w:r w:rsidR="00735BF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にリーダーシップ教育を行う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。</w:t>
      </w:r>
      <w:r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参加者の構成は国籍のバランスに加え、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世界人口構成比を勘案し、女性の参加者が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50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％以上、障がい</w:t>
      </w:r>
      <w:r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を持つ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者が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10%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以上となるような配慮がされており、それぞれの社会的立場や経験、文化的背景を認め合い、その多様性を活かしてお互いに学び合うことを重視している。プログラムはリーダーシップ・コミュニケーション・ソーシャルスキル等実践的な技術や平和・障がい者</w:t>
      </w:r>
      <w:r w:rsidR="00735BF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理解・社会統合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・教育等のトピックに関するレクチャーと、様々な種類のスポーツ活動</w:t>
      </w:r>
      <w:r w:rsidR="00735BF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実習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で構成されている。</w:t>
      </w:r>
      <w:r w:rsidR="002D3A2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これまで、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2012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年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1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月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Doha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（カタール</w:t>
      </w:r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）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、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6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月</w:t>
      </w:r>
      <w:proofErr w:type="spellStart"/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Hennef</w:t>
      </w:r>
      <w:proofErr w:type="spellEnd"/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（ドイツ</w:t>
      </w:r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）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、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10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月</w:t>
      </w:r>
      <w:proofErr w:type="spellStart"/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Macolin</w:t>
      </w:r>
      <w:proofErr w:type="spellEnd"/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（スイス）</w:t>
      </w:r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、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 xml:space="preserve"> 2013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年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1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月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Doha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、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5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月</w:t>
      </w:r>
      <w:proofErr w:type="spellStart"/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Macolin</w:t>
      </w:r>
      <w:proofErr w:type="spellEnd"/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、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 xml:space="preserve"> 6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月</w:t>
      </w:r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Stockholm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（スウェーデン</w:t>
      </w:r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）、</w:t>
      </w:r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8</w:t>
      </w:r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月</w:t>
      </w:r>
      <w:proofErr w:type="spellStart"/>
      <w:r w:rsidR="00AE6733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Gwangju</w:t>
      </w:r>
      <w:proofErr w:type="spellEnd"/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（韓国）、</w:t>
      </w:r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2014</w:t>
      </w:r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年</w:t>
      </w:r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1</w:t>
      </w:r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月東京（日本）、</w:t>
      </w:r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3</w:t>
      </w:r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月</w:t>
      </w:r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 xml:space="preserve">Berlin </w:t>
      </w:r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（ドイツ）、</w:t>
      </w:r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6</w:t>
      </w:r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月</w:t>
      </w:r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 xml:space="preserve">Florida </w:t>
      </w:r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 xml:space="preserve">（アメリカ）、　</w:t>
      </w:r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8</w:t>
      </w:r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月</w:t>
      </w:r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Stockholm</w:t>
      </w:r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、</w:t>
      </w:r>
      <w:proofErr w:type="spellStart"/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Gwangju</w:t>
      </w:r>
      <w:proofErr w:type="spellEnd"/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、</w:t>
      </w:r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2015</w:t>
      </w:r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年</w:t>
      </w:r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2</w:t>
      </w:r>
      <w:r w:rsidR="00A73DE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月</w:t>
      </w:r>
      <w:proofErr w:type="spellStart"/>
      <w:r w:rsidR="002D3A2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Gwangju</w:t>
      </w:r>
      <w:proofErr w:type="spellEnd"/>
      <w:r w:rsidR="00524CA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、</w:t>
      </w:r>
      <w:r w:rsidR="00524CA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3</w:t>
      </w:r>
      <w:r w:rsidR="00524CA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月宮城</w:t>
      </w:r>
      <w:r w:rsidR="00524CA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 xml:space="preserve"> </w:t>
      </w:r>
      <w:r w:rsidR="00524CA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（日本）、</w:t>
      </w:r>
      <w:r w:rsidR="00524CA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4</w:t>
      </w:r>
      <w:r w:rsidR="00524CA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月</w:t>
      </w:r>
      <w:r w:rsidR="00524CA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Berlin</w:t>
      </w:r>
      <w:r w:rsidR="00524CA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、</w:t>
      </w:r>
      <w:r w:rsidR="00524CA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5</w:t>
      </w:r>
      <w:r w:rsidR="00524CA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月</w:t>
      </w:r>
      <w:r w:rsidR="00524CA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Medellin</w:t>
      </w:r>
      <w:r w:rsidR="00524CA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（コロンビア）、</w:t>
      </w:r>
      <w:r w:rsidR="00524CA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6</w:t>
      </w:r>
      <w:r w:rsidR="00524CA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月</w:t>
      </w:r>
      <w:r w:rsidR="00524CA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Bradenton</w:t>
      </w:r>
      <w:r w:rsidR="00524CA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（アメリカ）、</w:t>
      </w:r>
      <w:r w:rsidR="00524CA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9</w:t>
      </w:r>
      <w:r w:rsidR="00524CA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月</w:t>
      </w:r>
      <w:r w:rsidR="00524CA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Boson</w:t>
      </w:r>
      <w:r w:rsidR="00524CA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（スウェーデン）、</w:t>
      </w:r>
      <w:r w:rsidR="00524CA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2</w:t>
      </w:r>
      <w:r w:rsidR="00524CA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月</w:t>
      </w:r>
      <w:proofErr w:type="spellStart"/>
      <w:r w:rsidR="0005152D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Pyeongchang</w:t>
      </w:r>
      <w:proofErr w:type="spellEnd"/>
      <w:r w:rsidR="00524CA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（韓国／予定）</w:t>
      </w:r>
      <w:r w:rsidR="002D3A2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で</w:t>
      </w:r>
      <w:r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開催しており</w:t>
      </w:r>
      <w:r w:rsidR="002D3A2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、</w:t>
      </w:r>
      <w:r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今回の</w:t>
      </w:r>
      <w:r w:rsidR="002D3A2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東北大会は</w:t>
      </w:r>
      <w:r w:rsidR="00524CAF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20</w:t>
      </w:r>
      <w:r w:rsidR="002D3A28"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回目にあたる。</w:t>
      </w:r>
    </w:p>
    <w:p w:rsidR="00673B55" w:rsidRDefault="00673B55" w:rsidP="00524CAF">
      <w:pPr>
        <w:autoSpaceDE w:val="0"/>
        <w:autoSpaceDN w:val="0"/>
        <w:adjustRightInd w:val="0"/>
        <w:spacing w:line="340" w:lineRule="exact"/>
        <w:rPr>
          <w:rFonts w:ascii="Verdana" w:eastAsia="ＭＳ Ｐ明朝" w:hAnsi="Verdana" w:cs="Arial" w:hint="eastAsia"/>
          <w:color w:val="000000"/>
          <w:kern w:val="24"/>
          <w:sz w:val="20"/>
          <w:szCs w:val="36"/>
        </w:rPr>
      </w:pPr>
    </w:p>
    <w:p w:rsidR="00673B55" w:rsidRDefault="00673B55" w:rsidP="00524CAF">
      <w:pPr>
        <w:autoSpaceDE w:val="0"/>
        <w:autoSpaceDN w:val="0"/>
        <w:adjustRightInd w:val="0"/>
        <w:spacing w:line="340" w:lineRule="exact"/>
        <w:rPr>
          <w:rFonts w:ascii="Verdana" w:eastAsia="ＭＳ Ｐ明朝" w:hAnsi="Verdana" w:cs="Arial" w:hint="eastAsia"/>
          <w:color w:val="000000"/>
          <w:kern w:val="24"/>
          <w:sz w:val="20"/>
          <w:szCs w:val="36"/>
        </w:rPr>
      </w:pPr>
    </w:p>
    <w:p w:rsidR="00854D51" w:rsidRPr="005D0CF6" w:rsidRDefault="00854D51" w:rsidP="00673B55">
      <w:pPr>
        <w:autoSpaceDE w:val="0"/>
        <w:autoSpaceDN w:val="0"/>
        <w:adjustRightInd w:val="0"/>
        <w:spacing w:line="340" w:lineRule="exact"/>
        <w:rPr>
          <w:rFonts w:ascii="Verdana" w:eastAsia="ＭＳ Ｐ明朝" w:hAnsi="Verdana" w:cs="Arial"/>
          <w:color w:val="000000"/>
          <w:kern w:val="24"/>
          <w:sz w:val="20"/>
          <w:szCs w:val="36"/>
        </w:rPr>
      </w:pPr>
      <w:r w:rsidRPr="005D0CF6">
        <w:rPr>
          <w:rFonts w:ascii="Verdana" w:eastAsia="ＭＳ Ｐ明朝" w:hAnsi="Verdana" w:cs="Arial"/>
          <w:noProof/>
          <w:color w:val="000000"/>
          <w:kern w:val="24"/>
          <w:sz w:val="20"/>
          <w:szCs w:val="36"/>
        </w:rPr>
        <w:drawing>
          <wp:anchor distT="0" distB="0" distL="114300" distR="114300" simplePos="0" relativeHeight="251670528" behindDoc="0" locked="0" layoutInCell="1" allowOverlap="1" wp14:anchorId="006CB263" wp14:editId="65043AA2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772795" cy="891540"/>
            <wp:effectExtent l="19050" t="0" r="8255" b="0"/>
            <wp:wrapSquare wrapText="bothSides"/>
            <wp:docPr id="8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 rotWithShape="1">
                    <a:blip r:embed="rId9" cstate="print"/>
                    <a:srcRect r="88158"/>
                    <a:stretch/>
                  </pic:blipFill>
                  <pic:spPr>
                    <a:xfrm>
                      <a:off x="0" y="0"/>
                      <a:ext cx="77279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3A28" w:rsidRPr="005D0CF6" w:rsidRDefault="002D3A28" w:rsidP="00B27B59">
      <w:pPr>
        <w:autoSpaceDE w:val="0"/>
        <w:autoSpaceDN w:val="0"/>
        <w:adjustRightInd w:val="0"/>
        <w:spacing w:line="340" w:lineRule="exact"/>
        <w:rPr>
          <w:rFonts w:ascii="Verdana" w:eastAsia="ＭＳ Ｐ明朝" w:hAnsi="Verdana" w:cs="Arial"/>
          <w:b/>
          <w:color w:val="000000"/>
          <w:kern w:val="24"/>
          <w:sz w:val="22"/>
          <w:szCs w:val="36"/>
        </w:rPr>
      </w:pPr>
      <w:r w:rsidRPr="005D0CF6">
        <w:rPr>
          <w:rFonts w:ascii="Verdana" w:eastAsia="ＭＳ Ｐ明朝" w:hAnsi="Verdana" w:cs="Arial"/>
          <w:b/>
          <w:color w:val="000000"/>
          <w:kern w:val="24"/>
          <w:sz w:val="22"/>
          <w:szCs w:val="36"/>
        </w:rPr>
        <w:t>The United Nations Office on Sport for Development and Peace (UNOSDP)</w:t>
      </w:r>
    </w:p>
    <w:p w:rsidR="002D3A28" w:rsidRPr="005D0CF6" w:rsidRDefault="002D3A28" w:rsidP="00B27B59">
      <w:pPr>
        <w:autoSpaceDE w:val="0"/>
        <w:autoSpaceDN w:val="0"/>
        <w:adjustRightInd w:val="0"/>
        <w:spacing w:line="340" w:lineRule="exact"/>
        <w:rPr>
          <w:rFonts w:ascii="Verdana" w:eastAsia="ＭＳ Ｐ明朝" w:hAnsi="Verdana" w:cs="Arial"/>
          <w:b/>
          <w:color w:val="000000"/>
          <w:kern w:val="24"/>
          <w:sz w:val="22"/>
          <w:szCs w:val="36"/>
        </w:rPr>
      </w:pPr>
      <w:r w:rsidRPr="005D0CF6">
        <w:rPr>
          <w:rFonts w:ascii="Verdana" w:eastAsia="ＭＳ Ｐ明朝" w:hAnsi="Verdana" w:cs="Arial"/>
          <w:b/>
          <w:color w:val="000000"/>
          <w:kern w:val="24"/>
          <w:sz w:val="22"/>
          <w:szCs w:val="36"/>
        </w:rPr>
        <w:t>国連</w:t>
      </w:r>
      <w:r w:rsidRPr="005D0CF6">
        <w:rPr>
          <w:rFonts w:ascii="Verdana" w:eastAsia="ＭＳ Ｐ明朝" w:hAnsi="Verdana" w:cs="Arial"/>
          <w:b/>
          <w:color w:val="000000"/>
          <w:kern w:val="24"/>
          <w:sz w:val="22"/>
          <w:szCs w:val="36"/>
        </w:rPr>
        <w:t xml:space="preserve"> </w:t>
      </w:r>
      <w:r w:rsidRPr="005D0CF6">
        <w:rPr>
          <w:rFonts w:ascii="Verdana" w:eastAsia="ＭＳ Ｐ明朝" w:hAnsi="Verdana" w:cs="Arial"/>
          <w:b/>
          <w:color w:val="000000"/>
          <w:kern w:val="24"/>
          <w:sz w:val="22"/>
          <w:szCs w:val="36"/>
        </w:rPr>
        <w:t>開発と平和のためのスポーツ事務局</w:t>
      </w:r>
    </w:p>
    <w:p w:rsidR="00673B55" w:rsidRDefault="00673B55" w:rsidP="00854D51">
      <w:pPr>
        <w:autoSpaceDE w:val="0"/>
        <w:autoSpaceDN w:val="0"/>
        <w:adjustRightInd w:val="0"/>
        <w:spacing w:line="340" w:lineRule="exact"/>
        <w:rPr>
          <w:rFonts w:ascii="Verdana" w:eastAsia="ＭＳ Ｐ明朝" w:hAnsi="Verdana" w:cs="Arial" w:hint="eastAsia"/>
          <w:color w:val="000000"/>
          <w:kern w:val="24"/>
          <w:sz w:val="20"/>
          <w:szCs w:val="36"/>
        </w:rPr>
      </w:pPr>
    </w:p>
    <w:p w:rsidR="00673B55" w:rsidRDefault="00673B55" w:rsidP="00854D51">
      <w:pPr>
        <w:autoSpaceDE w:val="0"/>
        <w:autoSpaceDN w:val="0"/>
        <w:adjustRightInd w:val="0"/>
        <w:spacing w:line="340" w:lineRule="exact"/>
        <w:rPr>
          <w:rFonts w:ascii="Verdana" w:eastAsia="ＭＳ Ｐ明朝" w:hAnsi="Verdana" w:cs="Arial" w:hint="eastAsia"/>
          <w:color w:val="000000"/>
          <w:kern w:val="24"/>
          <w:sz w:val="20"/>
          <w:szCs w:val="36"/>
        </w:rPr>
      </w:pPr>
    </w:p>
    <w:p w:rsidR="00673B55" w:rsidRDefault="00673B55" w:rsidP="00854D51">
      <w:pPr>
        <w:autoSpaceDE w:val="0"/>
        <w:autoSpaceDN w:val="0"/>
        <w:adjustRightInd w:val="0"/>
        <w:spacing w:line="340" w:lineRule="exact"/>
        <w:rPr>
          <w:rFonts w:ascii="Verdana" w:eastAsia="ＭＳ Ｐ明朝" w:hAnsi="Verdana" w:cs="Arial" w:hint="eastAsia"/>
          <w:color w:val="000000"/>
          <w:kern w:val="24"/>
          <w:sz w:val="20"/>
          <w:szCs w:val="36"/>
        </w:rPr>
      </w:pPr>
    </w:p>
    <w:p w:rsidR="002D3A28" w:rsidRPr="005D0CF6" w:rsidRDefault="002D3A28" w:rsidP="00854D51">
      <w:pPr>
        <w:autoSpaceDE w:val="0"/>
        <w:autoSpaceDN w:val="0"/>
        <w:adjustRightInd w:val="0"/>
        <w:spacing w:line="340" w:lineRule="exact"/>
        <w:rPr>
          <w:rFonts w:ascii="Verdana" w:eastAsia="ＭＳ Ｐ明朝" w:hAnsi="Verdana" w:cs="Arial"/>
          <w:color w:val="000000"/>
          <w:kern w:val="24"/>
          <w:sz w:val="20"/>
          <w:szCs w:val="36"/>
        </w:rPr>
      </w:pPr>
      <w:r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国際連合欧州本部であるジュネーブに本部、ニューヨーク国連本部に支部を持ち、国連事務総長・特別顧問の</w:t>
      </w:r>
      <w:proofErr w:type="spellStart"/>
      <w:r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Wilfried</w:t>
      </w:r>
      <w:proofErr w:type="spellEnd"/>
      <w:r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 xml:space="preserve"> Lemke</w:t>
      </w:r>
      <w:r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氏（</w:t>
      </w:r>
      <w:r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2008</w:t>
      </w:r>
      <w:r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年</w:t>
      </w:r>
      <w:r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4</w:t>
      </w:r>
      <w:r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月〜）がトップを務める。スポーツを通じて国連ミレニアム開発目標（</w:t>
      </w:r>
      <w:r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MDGs</w:t>
      </w:r>
      <w:r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>）を達成すべく、主に男女平等、子供・若者育成（ユースリーダーの育成を含む）、社会統合と人権（障がい者を含む）、開発（特にアフリカの最貧地域）、平和構築と紛争解決（特に中東地域）に取り組んでいる。また、会議・報告書・国連決議・普及啓発・広報・ネットワーク構築等の活動によって、スポーツを手段として活用することの理解・促進を図ると共に、関係者間の対話・知識共有・コラボレーション・パートナーシップ構築を促進することにより、分野を横断した対策を講じている。</w:t>
      </w:r>
      <w:r w:rsidRPr="005D0CF6">
        <w:rPr>
          <w:rFonts w:ascii="Verdana" w:eastAsia="ＭＳ Ｐ明朝" w:hAnsi="Verdana" w:cs="Arial"/>
          <w:color w:val="000000"/>
          <w:kern w:val="24"/>
          <w:sz w:val="20"/>
          <w:szCs w:val="36"/>
        </w:rPr>
        <w:t xml:space="preserve"> </w:t>
      </w:r>
    </w:p>
    <w:p w:rsidR="002D3A28" w:rsidRDefault="002D3A28" w:rsidP="00B27B59">
      <w:pPr>
        <w:autoSpaceDE w:val="0"/>
        <w:autoSpaceDN w:val="0"/>
        <w:adjustRightInd w:val="0"/>
        <w:spacing w:line="340" w:lineRule="exact"/>
        <w:rPr>
          <w:rFonts w:ascii="Verdana" w:eastAsia="ＭＳ Ｐ明朝" w:hAnsi="Verdana" w:cs="Arial" w:hint="eastAsia"/>
          <w:b/>
          <w:color w:val="000000"/>
          <w:kern w:val="24"/>
          <w:sz w:val="22"/>
          <w:szCs w:val="36"/>
        </w:rPr>
      </w:pPr>
    </w:p>
    <w:p w:rsidR="00673B55" w:rsidRDefault="00673B55" w:rsidP="00B27B59">
      <w:pPr>
        <w:autoSpaceDE w:val="0"/>
        <w:autoSpaceDN w:val="0"/>
        <w:adjustRightInd w:val="0"/>
        <w:spacing w:line="340" w:lineRule="exact"/>
        <w:rPr>
          <w:rFonts w:ascii="Verdana" w:eastAsia="ＭＳ Ｐ明朝" w:hAnsi="Verdana" w:cs="Arial" w:hint="eastAsia"/>
          <w:b/>
          <w:color w:val="000000"/>
          <w:kern w:val="24"/>
          <w:sz w:val="22"/>
          <w:szCs w:val="36"/>
        </w:rPr>
      </w:pPr>
    </w:p>
    <w:p w:rsidR="00673B55" w:rsidRDefault="00673B55" w:rsidP="00B27B59">
      <w:pPr>
        <w:autoSpaceDE w:val="0"/>
        <w:autoSpaceDN w:val="0"/>
        <w:adjustRightInd w:val="0"/>
        <w:spacing w:line="340" w:lineRule="exact"/>
        <w:rPr>
          <w:rFonts w:ascii="Verdana" w:eastAsia="ＭＳ Ｐ明朝" w:hAnsi="Verdana" w:cs="Arial" w:hint="eastAsia"/>
          <w:b/>
          <w:color w:val="000000"/>
          <w:kern w:val="24"/>
          <w:sz w:val="22"/>
          <w:szCs w:val="36"/>
        </w:rPr>
      </w:pPr>
    </w:p>
    <w:p w:rsidR="00674AD8" w:rsidRPr="005D0CF6" w:rsidRDefault="00674AD8" w:rsidP="005D0CF6">
      <w:pPr>
        <w:autoSpaceDE w:val="0"/>
        <w:autoSpaceDN w:val="0"/>
        <w:adjustRightInd w:val="0"/>
        <w:spacing w:line="340" w:lineRule="exact"/>
        <w:ind w:rightChars="-2758" w:right="-5289"/>
        <w:rPr>
          <w:rFonts w:ascii="Verdana" w:eastAsia="ＭＳ Ｐ明朝" w:hAnsi="Verdana" w:cs="ＭＳ Ｐゴシック"/>
          <w:color w:val="000000"/>
          <w:kern w:val="24"/>
          <w:szCs w:val="36"/>
        </w:rPr>
      </w:pPr>
      <w:bookmarkStart w:id="0" w:name="_GoBack"/>
      <w:bookmarkEnd w:id="0"/>
    </w:p>
    <w:sectPr w:rsidR="00674AD8" w:rsidRPr="005D0CF6" w:rsidSect="005D0CF6">
      <w:type w:val="continuous"/>
      <w:pgSz w:w="12240" w:h="15840" w:code="1"/>
      <w:pgMar w:top="1134" w:right="1134" w:bottom="1134" w:left="1134" w:header="720" w:footer="720" w:gutter="0"/>
      <w:cols w:space="48"/>
      <w:noEndnote/>
      <w:docGrid w:type="linesAndChars" w:linePitch="288" w:charSpace="-3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F7" w:rsidRDefault="00A97BF7" w:rsidP="006779DB">
      <w:r>
        <w:separator/>
      </w:r>
    </w:p>
  </w:endnote>
  <w:endnote w:type="continuationSeparator" w:id="0">
    <w:p w:rsidR="00A97BF7" w:rsidRDefault="00A97BF7" w:rsidP="0067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F7" w:rsidRDefault="00A97BF7" w:rsidP="006779DB">
      <w:r>
        <w:separator/>
      </w:r>
    </w:p>
  </w:footnote>
  <w:footnote w:type="continuationSeparator" w:id="0">
    <w:p w:rsidR="00A97BF7" w:rsidRDefault="00A97BF7" w:rsidP="0067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FCB7F4"/>
    <w:lvl w:ilvl="0">
      <w:numFmt w:val="bullet"/>
      <w:lvlText w:val="*"/>
      <w:lvlJc w:val="left"/>
    </w:lvl>
  </w:abstractNum>
  <w:abstractNum w:abstractNumId="1">
    <w:nsid w:val="29780F22"/>
    <w:multiLevelType w:val="hybridMultilevel"/>
    <w:tmpl w:val="E224414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7D403E1"/>
    <w:multiLevelType w:val="hybridMultilevel"/>
    <w:tmpl w:val="E2EAA588"/>
    <w:lvl w:ilvl="0" w:tplc="04090009">
      <w:start w:val="1"/>
      <w:numFmt w:val="bullet"/>
      <w:lvlText w:val=""/>
      <w:lvlJc w:val="left"/>
      <w:pPr>
        <w:ind w:left="75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80"/>
      </w:pPr>
      <w:rPr>
        <w:rFonts w:ascii="Wingdings" w:hAnsi="Wingdings" w:hint="default"/>
      </w:rPr>
    </w:lvl>
  </w:abstractNum>
  <w:abstractNum w:abstractNumId="3">
    <w:nsid w:val="6A882C75"/>
    <w:multiLevelType w:val="hybridMultilevel"/>
    <w:tmpl w:val="729C29EA"/>
    <w:lvl w:ilvl="0" w:tplc="24705F9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87B"/>
    <w:rsid w:val="000112EE"/>
    <w:rsid w:val="00022B84"/>
    <w:rsid w:val="00031157"/>
    <w:rsid w:val="0003609E"/>
    <w:rsid w:val="0005152D"/>
    <w:rsid w:val="000D52CF"/>
    <w:rsid w:val="000E594F"/>
    <w:rsid w:val="00121D93"/>
    <w:rsid w:val="00130013"/>
    <w:rsid w:val="001A23D0"/>
    <w:rsid w:val="001B4587"/>
    <w:rsid w:val="002405E1"/>
    <w:rsid w:val="002C49FA"/>
    <w:rsid w:val="002D3A28"/>
    <w:rsid w:val="003145E3"/>
    <w:rsid w:val="003F3FAA"/>
    <w:rsid w:val="00422E3A"/>
    <w:rsid w:val="0044072C"/>
    <w:rsid w:val="0044343A"/>
    <w:rsid w:val="004532CB"/>
    <w:rsid w:val="0047029A"/>
    <w:rsid w:val="00476F91"/>
    <w:rsid w:val="0049777D"/>
    <w:rsid w:val="004C4B0F"/>
    <w:rsid w:val="004E0785"/>
    <w:rsid w:val="00501C2E"/>
    <w:rsid w:val="005040AB"/>
    <w:rsid w:val="005042AB"/>
    <w:rsid w:val="005146B8"/>
    <w:rsid w:val="005153D6"/>
    <w:rsid w:val="00520382"/>
    <w:rsid w:val="00524CAF"/>
    <w:rsid w:val="005459C2"/>
    <w:rsid w:val="00580032"/>
    <w:rsid w:val="005D0CF6"/>
    <w:rsid w:val="005D0D07"/>
    <w:rsid w:val="005F7666"/>
    <w:rsid w:val="00627150"/>
    <w:rsid w:val="0064195C"/>
    <w:rsid w:val="0065787B"/>
    <w:rsid w:val="00673B55"/>
    <w:rsid w:val="00674AD8"/>
    <w:rsid w:val="006779DB"/>
    <w:rsid w:val="006842AA"/>
    <w:rsid w:val="00697970"/>
    <w:rsid w:val="006B0BA5"/>
    <w:rsid w:val="006B426D"/>
    <w:rsid w:val="006D6EA2"/>
    <w:rsid w:val="006E14BF"/>
    <w:rsid w:val="00735BFF"/>
    <w:rsid w:val="00797F8F"/>
    <w:rsid w:val="007C6368"/>
    <w:rsid w:val="007F016D"/>
    <w:rsid w:val="008004E1"/>
    <w:rsid w:val="008265CC"/>
    <w:rsid w:val="00854D51"/>
    <w:rsid w:val="0089020B"/>
    <w:rsid w:val="008B5D24"/>
    <w:rsid w:val="0095492D"/>
    <w:rsid w:val="009616B2"/>
    <w:rsid w:val="009C6AAB"/>
    <w:rsid w:val="009D79CC"/>
    <w:rsid w:val="009E6EB7"/>
    <w:rsid w:val="009F7298"/>
    <w:rsid w:val="00A50591"/>
    <w:rsid w:val="00A54DB1"/>
    <w:rsid w:val="00A73DE8"/>
    <w:rsid w:val="00A97BF7"/>
    <w:rsid w:val="00AA5CF6"/>
    <w:rsid w:val="00AE1A60"/>
    <w:rsid w:val="00AE6733"/>
    <w:rsid w:val="00B118E8"/>
    <w:rsid w:val="00B25D4E"/>
    <w:rsid w:val="00B27B59"/>
    <w:rsid w:val="00B32E95"/>
    <w:rsid w:val="00B546D8"/>
    <w:rsid w:val="00B55AB3"/>
    <w:rsid w:val="00B6127B"/>
    <w:rsid w:val="00BB4BEC"/>
    <w:rsid w:val="00C61082"/>
    <w:rsid w:val="00C6266D"/>
    <w:rsid w:val="00CC0276"/>
    <w:rsid w:val="00D378BC"/>
    <w:rsid w:val="00D65D78"/>
    <w:rsid w:val="00E20A55"/>
    <w:rsid w:val="00E97D6D"/>
    <w:rsid w:val="00EA157E"/>
    <w:rsid w:val="00F9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787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5787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77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779DB"/>
  </w:style>
  <w:style w:type="paragraph" w:styleId="a8">
    <w:name w:val="footer"/>
    <w:basedOn w:val="a"/>
    <w:link w:val="a9"/>
    <w:uiPriority w:val="99"/>
    <w:semiHidden/>
    <w:unhideWhenUsed/>
    <w:rsid w:val="006779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779DB"/>
  </w:style>
  <w:style w:type="character" w:styleId="aa">
    <w:name w:val="FollowedHyperlink"/>
    <w:basedOn w:val="a0"/>
    <w:uiPriority w:val="99"/>
    <w:semiHidden/>
    <w:unhideWhenUsed/>
    <w:rsid w:val="0003609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4C4B0F"/>
    <w:pPr>
      <w:ind w:leftChars="400" w:left="960"/>
    </w:pPr>
  </w:style>
  <w:style w:type="character" w:styleId="ac">
    <w:name w:val="annotation reference"/>
    <w:basedOn w:val="a0"/>
    <w:uiPriority w:val="99"/>
    <w:semiHidden/>
    <w:unhideWhenUsed/>
    <w:rsid w:val="000E594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E594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E59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E59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E59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787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5787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77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779DB"/>
  </w:style>
  <w:style w:type="paragraph" w:styleId="a8">
    <w:name w:val="footer"/>
    <w:basedOn w:val="a"/>
    <w:link w:val="a9"/>
    <w:uiPriority w:val="99"/>
    <w:semiHidden/>
    <w:unhideWhenUsed/>
    <w:rsid w:val="006779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779DB"/>
  </w:style>
  <w:style w:type="character" w:styleId="aa">
    <w:name w:val="FollowedHyperlink"/>
    <w:basedOn w:val="a0"/>
    <w:uiPriority w:val="99"/>
    <w:semiHidden/>
    <w:unhideWhenUsed/>
    <w:rsid w:val="0003609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4C4B0F"/>
    <w:pPr>
      <w:ind w:leftChars="400" w:left="960"/>
    </w:pPr>
  </w:style>
  <w:style w:type="character" w:styleId="ac">
    <w:name w:val="annotation reference"/>
    <w:basedOn w:val="a0"/>
    <w:uiPriority w:val="99"/>
    <w:semiHidden/>
    <w:unhideWhenUsed/>
    <w:rsid w:val="000E594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E594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E59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E59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E5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27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2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4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2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　UNOSDPとYLCについて</dc:title>
  <dc:creator>スポーツ庁</dc:creator>
  <cp:lastModifiedBy>文部科学省</cp:lastModifiedBy>
  <cp:revision>5</cp:revision>
  <cp:lastPrinted>2016-02-04T11:13:00Z</cp:lastPrinted>
  <dcterms:created xsi:type="dcterms:W3CDTF">2016-02-02T04:09:00Z</dcterms:created>
  <dcterms:modified xsi:type="dcterms:W3CDTF">2016-02-04T11:13:00Z</dcterms:modified>
</cp:coreProperties>
</file>