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inorEastAsia" w:eastAsiaTheme="minorEastAsia" w:hAnsiTheme="minorEastAsia"/>
          <w:b/>
        </w:rPr>
      </w:pPr>
      <w:bookmarkStart w:id="0" w:name="_GoBack"/>
      <w:r>
        <w:rPr>
          <w:rFonts w:asciiTheme="minorEastAsia" w:eastAsiaTheme="minorEastAsia" w:hAnsiTheme="minorEastAsia" w:hint="eastAsia"/>
          <w:b/>
        </w:rPr>
        <w:t>共 同 研 究 契 約 書（案）</w:t>
      </w:r>
    </w:p>
    <w:bookmarkEnd w:id="0"/>
    <w:p>
      <w:pPr>
        <w:rPr>
          <w:rFonts w:asciiTheme="minorEastAsia" w:eastAsiaTheme="minorEastAsia" w:hAnsiTheme="minorEastAsia"/>
          <w:sz w:val="22"/>
          <w:szCs w:val="22"/>
        </w:rPr>
      </w:pPr>
    </w:p>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121"/>
        <w:gridCol w:w="551"/>
        <w:gridCol w:w="575"/>
        <w:gridCol w:w="913"/>
        <w:gridCol w:w="1440"/>
        <w:gridCol w:w="360"/>
        <w:gridCol w:w="1080"/>
        <w:gridCol w:w="540"/>
        <w:gridCol w:w="1332"/>
      </w:tblGrid>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1．研究題目</w:t>
            </w:r>
          </w:p>
        </w:tc>
        <w:tc>
          <w:tcPr>
            <w:tcW w:w="7512" w:type="dxa"/>
            <w:gridSpan w:val="10"/>
          </w:tcPr>
          <w:p>
            <w:pPr>
              <w:rPr>
                <w:rFonts w:asciiTheme="minorEastAsia" w:eastAsiaTheme="minorEastAsia" w:hAnsiTheme="minorEastAsia"/>
                <w:sz w:val="22"/>
                <w:szCs w:val="22"/>
              </w:rPr>
            </w:pPr>
          </w:p>
        </w:tc>
      </w:tr>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2．研究目的</w:t>
            </w:r>
          </w:p>
        </w:tc>
        <w:tc>
          <w:tcPr>
            <w:tcW w:w="7512" w:type="dxa"/>
            <w:gridSpan w:val="10"/>
          </w:tcPr>
          <w:p>
            <w:pPr>
              <w:rPr>
                <w:rFonts w:asciiTheme="minorEastAsia" w:eastAsiaTheme="minorEastAsia" w:hAnsiTheme="minorEastAsia"/>
                <w:sz w:val="22"/>
                <w:szCs w:val="22"/>
              </w:rPr>
            </w:pPr>
          </w:p>
        </w:tc>
      </w:tr>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3．研究内容</w:t>
            </w:r>
          </w:p>
        </w:tc>
        <w:tc>
          <w:tcPr>
            <w:tcW w:w="7512" w:type="dxa"/>
            <w:gridSpan w:val="10"/>
          </w:tcPr>
          <w:p>
            <w:pPr>
              <w:rPr>
                <w:rFonts w:asciiTheme="minorEastAsia" w:eastAsiaTheme="minorEastAsia" w:hAnsiTheme="minorEastAsia"/>
                <w:sz w:val="22"/>
                <w:szCs w:val="22"/>
              </w:rPr>
            </w:pPr>
          </w:p>
        </w:tc>
      </w:tr>
      <w:tr>
        <w:trPr>
          <w:cantSplit/>
        </w:trPr>
        <w:tc>
          <w:tcPr>
            <w:tcW w:w="1659" w:type="dxa"/>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4．研究担当者</w:t>
            </w:r>
          </w:p>
        </w:tc>
        <w:tc>
          <w:tcPr>
            <w:tcW w:w="600"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1247"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2353" w:type="dxa"/>
            <w:gridSpan w:val="2"/>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所属・職名</w:t>
            </w:r>
          </w:p>
        </w:tc>
        <w:tc>
          <w:tcPr>
            <w:tcW w:w="3312"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本研究における役割</w:t>
            </w:r>
          </w:p>
        </w:tc>
      </w:tr>
      <w:tr>
        <w:trPr>
          <w:cantSplit/>
          <w:trHeight w:val="294"/>
        </w:trPr>
        <w:tc>
          <w:tcPr>
            <w:tcW w:w="1659" w:type="dxa"/>
            <w:vMerge/>
          </w:tcPr>
          <w:p>
            <w:pPr>
              <w:rPr>
                <w:rFonts w:asciiTheme="minorEastAsia" w:eastAsiaTheme="minorEastAsia" w:hAnsiTheme="minorEastAsia"/>
                <w:sz w:val="22"/>
                <w:szCs w:val="22"/>
              </w:rPr>
            </w:pPr>
          </w:p>
        </w:tc>
        <w:tc>
          <w:tcPr>
            <w:tcW w:w="600"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247" w:type="dxa"/>
            <w:gridSpan w:val="3"/>
            <w:vAlign w:val="center"/>
          </w:tcPr>
          <w:p>
            <w:pPr>
              <w:rPr>
                <w:rFonts w:asciiTheme="minorEastAsia" w:eastAsiaTheme="minorEastAsia" w:hAnsiTheme="minorEastAsia"/>
                <w:sz w:val="22"/>
                <w:szCs w:val="22"/>
              </w:rPr>
            </w:pPr>
          </w:p>
        </w:tc>
        <w:tc>
          <w:tcPr>
            <w:tcW w:w="2353" w:type="dxa"/>
            <w:gridSpan w:val="2"/>
            <w:vAlign w:val="center"/>
          </w:tcPr>
          <w:p>
            <w:pPr>
              <w:rPr>
                <w:rFonts w:asciiTheme="minorEastAsia" w:eastAsiaTheme="minorEastAsia" w:hAnsiTheme="minorEastAsia"/>
                <w:sz w:val="22"/>
                <w:szCs w:val="22"/>
              </w:rPr>
            </w:pPr>
          </w:p>
        </w:tc>
        <w:tc>
          <w:tcPr>
            <w:tcW w:w="3312" w:type="dxa"/>
            <w:gridSpan w:val="4"/>
            <w:vAlign w:val="center"/>
          </w:tcPr>
          <w:p>
            <w:pPr>
              <w:rPr>
                <w:rFonts w:asciiTheme="minorEastAsia" w:eastAsiaTheme="minorEastAsia" w:hAnsiTheme="minorEastAsia"/>
                <w:b/>
                <w:bCs/>
                <w:sz w:val="22"/>
                <w:szCs w:val="22"/>
              </w:rPr>
            </w:pPr>
          </w:p>
        </w:tc>
      </w:tr>
      <w:tr>
        <w:trPr>
          <w:cantSplit/>
          <w:trHeight w:val="331"/>
        </w:trPr>
        <w:tc>
          <w:tcPr>
            <w:tcW w:w="1659" w:type="dxa"/>
            <w:vMerge/>
          </w:tcPr>
          <w:p>
            <w:pPr>
              <w:rPr>
                <w:rFonts w:asciiTheme="minorEastAsia" w:eastAsiaTheme="minorEastAsia" w:hAnsiTheme="minorEastAsia"/>
                <w:sz w:val="22"/>
                <w:szCs w:val="22"/>
              </w:rPr>
            </w:pPr>
          </w:p>
        </w:tc>
        <w:tc>
          <w:tcPr>
            <w:tcW w:w="600" w:type="dxa"/>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247" w:type="dxa"/>
            <w:gridSpan w:val="3"/>
            <w:vMerge w:val="restart"/>
            <w:vAlign w:val="center"/>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c>
          <w:tcPr>
            <w:tcW w:w="2353" w:type="dxa"/>
            <w:gridSpan w:val="2"/>
            <w:vMerge w:val="restart"/>
            <w:vAlign w:val="center"/>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c>
          <w:tcPr>
            <w:tcW w:w="1440" w:type="dxa"/>
            <w:gridSpan w:val="2"/>
            <w:vMerge w:val="restart"/>
            <w:vAlign w:val="center"/>
          </w:tcPr>
          <w:p>
            <w:pPr>
              <w:rPr>
                <w:rFonts w:asciiTheme="minorEastAsia" w:eastAsiaTheme="minorEastAsia" w:hAnsiTheme="minorEastAsia"/>
                <w:sz w:val="22"/>
                <w:szCs w:val="22"/>
              </w:rPr>
            </w:pPr>
          </w:p>
        </w:tc>
        <w:tc>
          <w:tcPr>
            <w:tcW w:w="18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派遣の有無</w:t>
            </w:r>
          </w:p>
        </w:tc>
      </w:tr>
      <w:tr>
        <w:trPr>
          <w:cantSplit/>
          <w:trHeight w:val="314"/>
        </w:trPr>
        <w:tc>
          <w:tcPr>
            <w:tcW w:w="1659" w:type="dxa"/>
            <w:vMerge/>
          </w:tcPr>
          <w:p>
            <w:pPr>
              <w:rPr>
                <w:rFonts w:asciiTheme="minorEastAsia" w:eastAsiaTheme="minorEastAsia" w:hAnsiTheme="minorEastAsia"/>
                <w:sz w:val="22"/>
                <w:szCs w:val="22"/>
              </w:rPr>
            </w:pPr>
          </w:p>
        </w:tc>
        <w:tc>
          <w:tcPr>
            <w:tcW w:w="600" w:type="dxa"/>
            <w:vMerge/>
            <w:vAlign w:val="center"/>
          </w:tcPr>
          <w:p>
            <w:pPr>
              <w:rPr>
                <w:rFonts w:asciiTheme="minorEastAsia" w:eastAsiaTheme="minorEastAsia" w:hAnsiTheme="minorEastAsia"/>
                <w:sz w:val="22"/>
                <w:szCs w:val="22"/>
              </w:rPr>
            </w:pPr>
          </w:p>
        </w:tc>
        <w:tc>
          <w:tcPr>
            <w:tcW w:w="1247" w:type="dxa"/>
            <w:gridSpan w:val="3"/>
            <w:vMerge/>
            <w:vAlign w:val="center"/>
          </w:tcPr>
          <w:p>
            <w:pPr>
              <w:rPr>
                <w:rFonts w:asciiTheme="minorEastAsia" w:eastAsiaTheme="minorEastAsia" w:hAnsiTheme="minorEastAsia"/>
                <w:sz w:val="22"/>
                <w:szCs w:val="22"/>
              </w:rPr>
            </w:pPr>
          </w:p>
        </w:tc>
        <w:tc>
          <w:tcPr>
            <w:tcW w:w="2353" w:type="dxa"/>
            <w:gridSpan w:val="2"/>
            <w:vMerge/>
            <w:vAlign w:val="center"/>
          </w:tcPr>
          <w:p>
            <w:pPr>
              <w:rPr>
                <w:rFonts w:asciiTheme="minorEastAsia" w:eastAsiaTheme="minorEastAsia" w:hAnsiTheme="minorEastAsia"/>
                <w:sz w:val="22"/>
                <w:szCs w:val="22"/>
              </w:rPr>
            </w:pPr>
          </w:p>
        </w:tc>
        <w:tc>
          <w:tcPr>
            <w:tcW w:w="1440" w:type="dxa"/>
            <w:gridSpan w:val="2"/>
            <w:vMerge/>
            <w:vAlign w:val="center"/>
          </w:tcPr>
          <w:p>
            <w:pPr>
              <w:rPr>
                <w:rFonts w:asciiTheme="minorEastAsia" w:eastAsiaTheme="minorEastAsia" w:hAnsiTheme="minorEastAsia"/>
                <w:sz w:val="22"/>
                <w:szCs w:val="22"/>
              </w:rPr>
            </w:pPr>
          </w:p>
        </w:tc>
        <w:tc>
          <w:tcPr>
            <w:tcW w:w="1872" w:type="dxa"/>
            <w:gridSpan w:val="2"/>
            <w:vAlign w:val="center"/>
          </w:tcPr>
          <w:p>
            <w:pPr>
              <w:rPr>
                <w:rFonts w:asciiTheme="minorEastAsia" w:eastAsiaTheme="minorEastAsia" w:hAnsiTheme="minorEastAsia"/>
                <w:sz w:val="22"/>
                <w:szCs w:val="22"/>
              </w:rPr>
            </w:pPr>
          </w:p>
        </w:tc>
      </w:tr>
      <w:tr>
        <w:trPr>
          <w:cantSplit/>
        </w:trPr>
        <w:tc>
          <w:tcPr>
            <w:tcW w:w="2259"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5．研究実施場所</w:t>
            </w:r>
          </w:p>
        </w:tc>
        <w:tc>
          <w:tcPr>
            <w:tcW w:w="6912" w:type="dxa"/>
            <w:gridSpan w:val="9"/>
          </w:tcPr>
          <w:p>
            <w:pPr>
              <w:rPr>
                <w:rFonts w:asciiTheme="minorEastAsia" w:eastAsiaTheme="minorEastAsia" w:hAnsiTheme="minorEastAsia"/>
                <w:sz w:val="22"/>
                <w:szCs w:val="22"/>
              </w:rPr>
            </w:pPr>
          </w:p>
        </w:tc>
      </w:tr>
      <w:tr>
        <w:trPr>
          <w:cantSplit/>
        </w:trPr>
        <w:tc>
          <w:tcPr>
            <w:tcW w:w="2259"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6．研究期間</w:t>
            </w:r>
          </w:p>
        </w:tc>
        <w:tc>
          <w:tcPr>
            <w:tcW w:w="6912" w:type="dxa"/>
            <w:gridSpan w:val="9"/>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平成　　年　 月　 日　から　平成　　年   月   日　まで</w:t>
            </w:r>
          </w:p>
        </w:tc>
      </w:tr>
      <w:tr>
        <w:trPr>
          <w:cantSplit/>
        </w:trPr>
        <w:tc>
          <w:tcPr>
            <w:tcW w:w="2259"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7．研究経費の負担</w:t>
            </w:r>
          </w:p>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研究費</w:t>
            </w:r>
          </w:p>
        </w:tc>
        <w:tc>
          <w:tcPr>
            <w:tcW w:w="3312" w:type="dxa"/>
            <w:gridSpan w:val="4"/>
            <w:vAlign w:val="center"/>
          </w:tcPr>
          <w:p>
            <w:pPr>
              <w:rPr>
                <w:rFonts w:asciiTheme="minorEastAsia" w:eastAsiaTheme="minorEastAsia" w:hAnsiTheme="minorEastAsia"/>
                <w:sz w:val="22"/>
                <w:szCs w:val="22"/>
              </w:rPr>
            </w:pPr>
          </w:p>
        </w:tc>
      </w:tr>
      <w:tr>
        <w:trPr>
          <w:cantSplit/>
          <w:trHeight w:val="29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29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18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合計</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18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総額</w:t>
            </w:r>
          </w:p>
        </w:tc>
        <w:tc>
          <w:tcPr>
            <w:tcW w:w="6240" w:type="dxa"/>
            <w:gridSpan w:val="7"/>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r>
      <w:tr>
        <w:trPr>
          <w:cantSplit/>
          <w:trHeight w:val="278"/>
        </w:trPr>
        <w:tc>
          <w:tcPr>
            <w:tcW w:w="2259"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8．施設及び設備</w:t>
            </w:r>
          </w:p>
        </w:tc>
        <w:tc>
          <w:tcPr>
            <w:tcW w:w="672"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1488"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施設の名称</w:t>
            </w:r>
          </w:p>
        </w:tc>
        <w:tc>
          <w:tcPr>
            <w:tcW w:w="4752" w:type="dxa"/>
            <w:gridSpan w:val="5"/>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設   備</w:t>
            </w:r>
          </w:p>
        </w:tc>
      </w:tr>
      <w:tr>
        <w:trPr>
          <w:cantSplit/>
          <w:trHeight w:val="277"/>
        </w:trPr>
        <w:tc>
          <w:tcPr>
            <w:tcW w:w="2259" w:type="dxa"/>
            <w:gridSpan w:val="2"/>
            <w:vMerge/>
          </w:tcPr>
          <w:p>
            <w:pPr>
              <w:rPr>
                <w:rFonts w:asciiTheme="minorEastAsia" w:eastAsiaTheme="minorEastAsia" w:hAnsiTheme="minorEastAsia"/>
                <w:sz w:val="22"/>
                <w:szCs w:val="22"/>
              </w:rPr>
            </w:pPr>
          </w:p>
        </w:tc>
        <w:tc>
          <w:tcPr>
            <w:tcW w:w="672" w:type="dxa"/>
            <w:gridSpan w:val="2"/>
            <w:vMerge/>
            <w:vAlign w:val="center"/>
          </w:tcPr>
          <w:p>
            <w:pPr>
              <w:rPr>
                <w:rFonts w:asciiTheme="minorEastAsia" w:eastAsiaTheme="minorEastAsia" w:hAnsiTheme="minorEastAsia"/>
                <w:sz w:val="22"/>
                <w:szCs w:val="22"/>
              </w:rPr>
            </w:pPr>
          </w:p>
        </w:tc>
        <w:tc>
          <w:tcPr>
            <w:tcW w:w="1488" w:type="dxa"/>
            <w:gridSpan w:val="2"/>
            <w:vMerge/>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名  称</w:t>
            </w:r>
          </w:p>
        </w:tc>
        <w:tc>
          <w:tcPr>
            <w:tcW w:w="1620"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規 格</w:t>
            </w:r>
          </w:p>
        </w:tc>
        <w:tc>
          <w:tcPr>
            <w:tcW w:w="1332"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数量</w:t>
            </w:r>
          </w:p>
        </w:tc>
      </w:tr>
      <w:tr>
        <w:trPr>
          <w:cantSplit/>
          <w:trHeight w:val="2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488" w:type="dxa"/>
            <w:gridSpan w:val="2"/>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p>
        </w:tc>
        <w:tc>
          <w:tcPr>
            <w:tcW w:w="1620" w:type="dxa"/>
            <w:gridSpan w:val="2"/>
            <w:vAlign w:val="center"/>
          </w:tcPr>
          <w:p>
            <w:pPr>
              <w:rPr>
                <w:rFonts w:asciiTheme="minorEastAsia" w:eastAsiaTheme="minorEastAsia" w:hAnsiTheme="minorEastAsia"/>
                <w:sz w:val="22"/>
                <w:szCs w:val="22"/>
              </w:rPr>
            </w:pPr>
          </w:p>
        </w:tc>
        <w:tc>
          <w:tcPr>
            <w:tcW w:w="1332" w:type="dxa"/>
            <w:vAlign w:val="center"/>
          </w:tcPr>
          <w:p>
            <w:pPr>
              <w:rPr>
                <w:rFonts w:asciiTheme="minorEastAsia" w:eastAsiaTheme="minorEastAsia" w:hAnsiTheme="minorEastAsia"/>
                <w:sz w:val="22"/>
                <w:szCs w:val="22"/>
              </w:rPr>
            </w:pPr>
          </w:p>
        </w:tc>
      </w:tr>
      <w:tr>
        <w:trPr>
          <w:cantSplit/>
          <w:trHeight w:val="2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488" w:type="dxa"/>
            <w:gridSpan w:val="2"/>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p>
        </w:tc>
        <w:tc>
          <w:tcPr>
            <w:tcW w:w="1620" w:type="dxa"/>
            <w:gridSpan w:val="2"/>
            <w:vAlign w:val="center"/>
          </w:tcPr>
          <w:p>
            <w:pPr>
              <w:rPr>
                <w:rFonts w:asciiTheme="minorEastAsia" w:eastAsiaTheme="minorEastAsia" w:hAnsiTheme="minorEastAsia"/>
                <w:sz w:val="22"/>
                <w:szCs w:val="22"/>
              </w:rPr>
            </w:pPr>
          </w:p>
        </w:tc>
        <w:tc>
          <w:tcPr>
            <w:tcW w:w="1332" w:type="dxa"/>
            <w:vAlign w:val="center"/>
          </w:tcPr>
          <w:p>
            <w:pPr>
              <w:rPr>
                <w:rFonts w:asciiTheme="minorEastAsia" w:eastAsiaTheme="minorEastAsia" w:hAnsiTheme="minorEastAsia"/>
                <w:sz w:val="22"/>
                <w:szCs w:val="22"/>
              </w:rPr>
            </w:pPr>
          </w:p>
        </w:tc>
      </w:tr>
      <w:tr>
        <w:trPr>
          <w:cantSplit/>
        </w:trPr>
        <w:tc>
          <w:tcPr>
            <w:tcW w:w="2931"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9．ノウハウの秘匿期間</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本共同研究終了日（研究期間が複数年度にわたる場合は各年度末）の翌日から起算して［　　］年間</w:t>
            </w:r>
          </w:p>
        </w:tc>
      </w:tr>
      <w:tr>
        <w:trPr>
          <w:cantSplit/>
        </w:trPr>
        <w:tc>
          <w:tcPr>
            <w:tcW w:w="2931"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10．秘密保持義務の有効期間</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本共同研究終了日（研究期間が複数年度にわたる場合は各年度末）の翌日から起算して［　　］年間</w:t>
            </w:r>
          </w:p>
        </w:tc>
      </w:tr>
      <w:tr>
        <w:trPr>
          <w:cantSplit/>
          <w:trHeight w:val="240"/>
        </w:trPr>
        <w:tc>
          <w:tcPr>
            <w:tcW w:w="2380" w:type="dxa"/>
            <w:gridSpan w:val="3"/>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11．成果に関する知的財産権の帰属</w:t>
            </w:r>
          </w:p>
        </w:tc>
        <w:tc>
          <w:tcPr>
            <w:tcW w:w="551"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trPr>
          <w:cantSplit/>
          <w:trHeight w:val="360"/>
        </w:trPr>
        <w:tc>
          <w:tcPr>
            <w:tcW w:w="2380" w:type="dxa"/>
            <w:gridSpan w:val="3"/>
            <w:vMerge/>
            <w:vAlign w:val="center"/>
          </w:tcPr>
          <w:p>
            <w:pPr>
              <w:rPr>
                <w:rFonts w:asciiTheme="minorEastAsia" w:eastAsiaTheme="minorEastAsia" w:hAnsiTheme="minorEastAsia"/>
                <w:sz w:val="22"/>
                <w:szCs w:val="22"/>
              </w:rPr>
            </w:pPr>
          </w:p>
        </w:tc>
        <w:tc>
          <w:tcPr>
            <w:tcW w:w="551"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・単独帰属（第13条）</w:t>
            </w:r>
          </w:p>
        </w:tc>
      </w:tr>
      <w:tr>
        <w:trPr>
          <w:cantSplit/>
          <w:trHeight w:val="280"/>
        </w:trPr>
        <w:tc>
          <w:tcPr>
            <w:tcW w:w="2380" w:type="dxa"/>
            <w:gridSpan w:val="3"/>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12．成果に関する権限（実施権、選択権等）</w:t>
            </w:r>
          </w:p>
        </w:tc>
        <w:tc>
          <w:tcPr>
            <w:tcW w:w="551"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・研究目的での無償・非独占的実施（第15条）</w:t>
            </w:r>
          </w:p>
        </w:tc>
      </w:tr>
      <w:tr>
        <w:trPr>
          <w:cantSplit/>
          <w:trHeight w:val="320"/>
        </w:trPr>
        <w:tc>
          <w:tcPr>
            <w:tcW w:w="2380" w:type="dxa"/>
            <w:gridSpan w:val="3"/>
            <w:vMerge/>
            <w:vAlign w:val="center"/>
          </w:tcPr>
          <w:p>
            <w:pPr>
              <w:rPr>
                <w:rFonts w:asciiTheme="minorEastAsia" w:eastAsiaTheme="minorEastAsia" w:hAnsiTheme="minorEastAsia"/>
                <w:sz w:val="22"/>
                <w:szCs w:val="22"/>
              </w:rPr>
            </w:pPr>
          </w:p>
        </w:tc>
        <w:tc>
          <w:tcPr>
            <w:tcW w:w="551"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・実施／実施許諾（第14条、第15条）</w:t>
            </w:r>
          </w:p>
        </w:tc>
      </w:tr>
    </w:tbl>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（契約項目表）</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（以下、余白）</w:t>
      </w:r>
      <w:r>
        <w:rPr>
          <w:rFonts w:asciiTheme="minorEastAsia" w:eastAsiaTheme="minorEastAsia" w:hAnsiTheme="minorEastAsia"/>
          <w:sz w:val="22"/>
          <w:szCs w:val="22"/>
        </w:rPr>
        <w:br w:type="page"/>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第1条（定義）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）「知的財産権」とは、以下に掲げるものをいう。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イ　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ハ　著作権法（昭和45年法律第48号）に規定するプログラムの著作物及びデータベースの著作物（以下「プログラム等」という。）に係る著作権並びに外国における上記権利に相当する権利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ニ　秘匿することが可能な技術情報であって、かつ、財産的価値のあるものの中から、第21条の規定に基づき特定するもの（以下「ノウハウ」という。）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5</w:t>
      </w:r>
      <w:r>
        <w:rPr>
          <w:rFonts w:asciiTheme="minorEastAsia" w:eastAsiaTheme="minorEastAsia" w:hAnsiTheme="minorEastAsia"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6</w:t>
      </w:r>
      <w:r>
        <w:rPr>
          <w:rFonts w:asciiTheme="minorEastAsia" w:eastAsiaTheme="minorEastAsia" w:hAnsiTheme="minorEastAsia" w:hint="eastAsia"/>
          <w:sz w:val="22"/>
          <w:szCs w:val="22"/>
        </w:rPr>
        <w:t>）知的財産権の「実施」とは、特許法第2条第3項に定める行為、実用新案法第2条第3項に定める行為、意匠法第2条第3項に定める行為、商標法第2条第3項に定める行為、半導体集積回路の回路配置に関する法律第2条第3項に定める行為、種苗法第2条第5項に定める行為、著作物のあらゆる利用行為並びにノウハウの使用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7）「本データ」とは、個人情報の保護に関する法律（平成15年法律第57号）2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（8）「各当事者提供データ」とは、本契約締結前から各当事者が利用権限を有し、本共同研究の目的で提供する本データであって、各当事者について別紙[1]に示される。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（9）「本成果データ」とは、本研究の遂行の過程で、又は、これに関して、創出され、取得又は収集される本データであって、別紙[2]に示される。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（10）「利用権限」とは、データを利用、管理、開示、譲渡（利用許諾を含む。）又は処分することのほか、データに係る一切の権限をいう。］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第2条（研究題目等）</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甲及び乙は、契約項目表1．ないし3．記載の共同研究（以下「本共同研究」という。）を実施するものとする。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第3条（研究期間）</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本共同研究の研究期間は、契約項目表6．記載の期間とする。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第4条（研究担当者）</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甲及び乙は、それぞれ、契約項目表4．に掲げる者を本共同研究の研究担当者として本共同研究に参加させるものとする。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甲は、乙が希望する場合、乙の研究担当者のうち甲の研究実施場所において本共同研究に従事する者を共同研究員として受け入れるものとする。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甲及び乙は、相手方の同意を得た上で、第1項に定める研究担当者の変更、追加又は削減を行うことができるものとする。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第5条（研究経費の負担及び支払）</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甲は、契約項目表7．記載の研究費、乙は、契約項目表7．記載の研究費［及び研究料］を、それぞれ負担するものとする。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乙は、契約項目表7．記載の研究費［及び研究料］を甲が発行する請求書により、当該請求書に定める支払期限までに支払わなければならない。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乙は所定の支払期限までに研究費［及び研究料］を支払わないときは、支払期日の翌日から支払った日までの日数に応じ、その未払額に年</w:t>
      </w:r>
      <w:r>
        <w:rPr>
          <w:rFonts w:asciiTheme="minorEastAsia" w:eastAsiaTheme="minorEastAsia" w:hAnsiTheme="minorEastAsia"/>
          <w:sz w:val="22"/>
          <w:szCs w:val="22"/>
        </w:rPr>
        <w:t>5</w:t>
      </w:r>
      <w:r>
        <w:rPr>
          <w:rFonts w:asciiTheme="minorEastAsia" w:eastAsiaTheme="minorEastAsia" w:hAnsiTheme="minorEastAsia" w:hint="eastAsia"/>
          <w:sz w:val="22"/>
          <w:szCs w:val="22"/>
        </w:rPr>
        <w:t>％の割合で計算した延滞金を付加して支払わなければならない。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第6条（経理）</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前条の研究経費の経理は甲が行う。</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第7条（研究経費により取得した設備等）</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契約項目表7．記載の研究経費により取得した設備等は、甲に帰属するものとする。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 w:val="left" w:pos="1515"/>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第8条（施設及び設備の提供等）</w:t>
      </w:r>
    </w:p>
    <w:p>
      <w:pPr>
        <w:tabs>
          <w:tab w:val="clear" w:pos="960"/>
          <w:tab w:val="clear" w:pos="1920"/>
          <w:tab w:val="clear" w:pos="2880"/>
          <w:tab w:val="clear" w:pos="3840"/>
          <w:tab w:val="clear" w:pos="9096"/>
          <w:tab w:val="left" w:pos="1515"/>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甲及び乙は、契約項目表8.に掲げる自己の施設・設備を本共同研究の用に供するものとする。</w:t>
      </w:r>
    </w:p>
    <w:p>
      <w:pPr>
        <w:tabs>
          <w:tab w:val="clear" w:pos="960"/>
          <w:tab w:val="clear" w:pos="1920"/>
          <w:tab w:val="clear" w:pos="2880"/>
          <w:tab w:val="clear" w:pos="3840"/>
          <w:tab w:val="clear" w:pos="9096"/>
          <w:tab w:val="left" w:pos="1515"/>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本共同研究の用に供するため、乙から契約項目表8.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 w:val="left" w:pos="1515"/>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前項に規定する設備の搬入、据付け、撤去及び搬出に要する経費は、乙の負担とする。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第9条（研究の中止又は期間の延長）</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中止又は研究の責めを負わない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甲の研究担当者等の退職又は他機関への異動により、本共同研究の実施の継続が困難になったと認められるときは、乙と協議した上で、本共同研究を中止することができる。この場合において、甲は、乙に対し、中止の責めを負わない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及び乙は、本共同研究の研究期間の延長により、第5条第2項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第10条（研究の終了）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本共同研究は、以下のいずれかの事由が生じた時点において、終了するものとする。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）契約項目表6．記載の研究期間が満了した場合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）研究期間満了前の共同研究が完了した場合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）第24条により、本契約が解除された場合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）甲及び乙が本共同研究の終了を合意した場合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第11条（研究の中止に伴う研究経費の取扱）</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第12条（研究の終了に伴う実績報告書の作成）</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甲及び乙は、双方協力して、本共同研究の実施期間中に得られた本研究成果について報告書を、本共同研究完了の翌日から［　　］日以内にとりまとめるものとする。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13</w:t>
      </w:r>
      <w:r>
        <w:rPr>
          <w:rFonts w:asciiTheme="minorEastAsia" w:eastAsiaTheme="minorEastAsia" w:hAnsiTheme="minorEastAsia" w:hint="eastAsia"/>
          <w:b/>
          <w:sz w:val="22"/>
          <w:szCs w:val="22"/>
          <w:highlight w:val="yellow"/>
        </w:rPr>
        <w:t>条（知的財産権の帰属）</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1　本共同研究に伴い得られた発明等（以下「本発明等」という。）に関する知的財産権（以下「本知的財産権」という。）は、乙に帰属するものとする。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2　甲及び乙は、本知的財産について、それぞれの規則等により、当該発明等を得た研究担当者等から、当該発明等に関する知的財産権の承継を受け、乙に移転するものとする。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14</w:t>
      </w:r>
      <w:r>
        <w:rPr>
          <w:rFonts w:asciiTheme="minorEastAsia" w:eastAsiaTheme="minorEastAsia" w:hAnsiTheme="minorEastAsia" w:hint="eastAsia"/>
          <w:b/>
          <w:sz w:val="22"/>
          <w:szCs w:val="22"/>
          <w:highlight w:val="yellow"/>
        </w:rPr>
        <w:t>条（本発明等の実施）</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乙は、本発明等を自己のために実施することができる。ただし、実施の際には、第19条に定めるノウハウ秘匿義務及び第20条に定める秘密保持義務を遵守するものとする。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15</w:t>
      </w:r>
      <w:r>
        <w:rPr>
          <w:rFonts w:asciiTheme="minorEastAsia" w:eastAsiaTheme="minorEastAsia" w:hAnsiTheme="minorEastAsia" w:hint="eastAsia"/>
          <w:b/>
          <w:sz w:val="22"/>
          <w:szCs w:val="22"/>
          <w:highlight w:val="yellow"/>
        </w:rPr>
        <w:t>条（本発明等の実施許諾）</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乙は、甲に対し、本共同研究その他の研究目的で本発明等を無償で非独占的に実施する権</w:t>
      </w:r>
      <w:r>
        <w:rPr>
          <w:rFonts w:asciiTheme="minorEastAsia" w:eastAsiaTheme="minorEastAsia" w:hAnsiTheme="minorEastAsia" w:hint="eastAsia"/>
          <w:sz w:val="22"/>
          <w:szCs w:val="22"/>
        </w:rPr>
        <w:lastRenderedPageBreak/>
        <w:t>利を許諾する。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乙は、甲以外の第三者に対し、本発明等の実施を許諾することができる。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第16条（知的財産権の出願等）</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本知的財産権の出願は、乙が単独で出願するものとする。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w:t>
      </w:r>
      <w:r>
        <w:rPr>
          <w:rFonts w:asciiTheme="minorEastAsia" w:eastAsiaTheme="minorEastAsia" w:hAnsiTheme="minorEastAsia" w:hint="eastAsia"/>
          <w:b/>
          <w:sz w:val="22"/>
          <w:szCs w:val="22"/>
          <w:highlight w:val="yellow"/>
        </w:rPr>
        <w:t>7条（外国における出願等）</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本知的財産権の外国における出願については、前条に準じるものとする。</w:t>
      </w:r>
      <w:r>
        <w:rPr>
          <w:rFonts w:asciiTheme="minorEastAsia" w:eastAsiaTheme="minorEastAsia" w:hAnsiTheme="minorEastAsia" w:hint="eastAsia"/>
          <w:sz w:val="22"/>
          <w:szCs w:val="22"/>
        </w:rPr>
        <w:tab/>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第18条（出願等費用）</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前2条の出願に関する出願等費用は、乙が負担するものとする。</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第19条（ノウハウ及びプログラム、データ等）</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本共同研究の結果、ノウハウに該当するものが生じた場合は、速やかに相手方に通知し、協議の上、書面にて特定するものとする。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特定されたノウハウは、特定の日から契約項目表9.記載の期間まで、秘密として保持し、相手方の書面による承諾なく、第三者に開示してはならない。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特定されたノウハウ及び本共同研究から生じたプログラム等の取り扱いについては、第13条から第20条に定める本知的財産権の取り扱いに準じ、甲乙別途協議の上決定するものとする。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［4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第20条（秘密保持）</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本共同研究の実施に当たり、相手方より開示又は提供を受けた技術上及び営業上の情報のうち、提供又は開示の際に相手方より秘密である旨の表示が明記され、又は口頭で開示されかつ開示に際し秘密である旨明示され開示後</w:t>
      </w:r>
      <w:r>
        <w:rPr>
          <w:rFonts w:asciiTheme="minorEastAsia" w:eastAsiaTheme="minorEastAsia" w:hAnsiTheme="minorEastAsia"/>
          <w:sz w:val="22"/>
          <w:szCs w:val="22"/>
        </w:rPr>
        <w:t>30</w:t>
      </w:r>
      <w:r>
        <w:rPr>
          <w:rFonts w:asciiTheme="minorEastAsia" w:eastAsiaTheme="minorEastAsia" w:hAnsiTheme="minorEastAsia" w:hint="eastAsia"/>
          <w:sz w:val="22"/>
          <w:szCs w:val="22"/>
        </w:rPr>
        <w:t>日以内に書面で相手方に対して通知されたもの（以下「秘密情報」という。）について、第4条に指定する研究担当者以外に開示・漏洩してはならない。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5</w:t>
      </w:r>
      <w:r>
        <w:rPr>
          <w:rFonts w:asciiTheme="minorEastAsia" w:eastAsiaTheme="minorEastAsia" w:hAnsiTheme="minorEastAsia" w:hint="eastAsia"/>
          <w:sz w:val="22"/>
          <w:szCs w:val="22"/>
        </w:rPr>
        <w:t>）相手方から開示又は提供された情報によることなく独自に開発・取得していたことを証</w:t>
      </w:r>
      <w:r>
        <w:rPr>
          <w:rFonts w:asciiTheme="minorEastAsia" w:eastAsiaTheme="minorEastAsia" w:hAnsiTheme="minorEastAsia" w:hint="eastAsia"/>
          <w:sz w:val="22"/>
          <w:szCs w:val="22"/>
        </w:rPr>
        <w:lastRenderedPageBreak/>
        <w:t>明できる情報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6</w:t>
      </w:r>
      <w:r>
        <w:rPr>
          <w:rFonts w:asciiTheme="minorEastAsia" w:eastAsiaTheme="minorEastAsia" w:hAnsiTheme="minorEastAsia" w:hint="eastAsia"/>
          <w:sz w:val="22"/>
          <w:szCs w:val="22"/>
        </w:rPr>
        <w:t>）書面により事前に相手方の同意を得たもの</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甲及び乙は、秘密情報を本共同研究以外の目的に使用してはならない。ただし、書面により事前に相手方の同意を得た場合はこの限りではない。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前</w:t>
      </w:r>
      <w:r>
        <w:rPr>
          <w:rFonts w:asciiTheme="minorEastAsia" w:eastAsiaTheme="minorEastAsia" w:hAnsiTheme="minorEastAsia"/>
          <w:sz w:val="22"/>
          <w:szCs w:val="22"/>
        </w:rPr>
        <w:t>2</w:t>
      </w:r>
      <w:r>
        <w:rPr>
          <w:rFonts w:asciiTheme="minorEastAsia" w:eastAsiaTheme="minorEastAsia" w:hAnsiTheme="minorEastAsia" w:hint="eastAsia"/>
          <w:sz w:val="22"/>
          <w:szCs w:val="22"/>
        </w:rPr>
        <w:t>項の有効期間は、第3条の本共同研究開始の日から契約項目表10.記載の期間までとする。ただし、甲乙協議の上、この期間を延長し、又は短縮することができるものとする。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ind w:left="241" w:hangingChars="109" w:hanging="241"/>
        <w:rPr>
          <w:rFonts w:asciiTheme="minorEastAsia" w:eastAsiaTheme="minorEastAsia" w:hAnsiTheme="minorEastAsia"/>
          <w:sz w:val="22"/>
          <w:szCs w:val="22"/>
        </w:rPr>
      </w:pPr>
      <w:r>
        <w:rPr>
          <w:rFonts w:asciiTheme="minorEastAsia" w:eastAsiaTheme="minorEastAsia" w:hAnsiTheme="minorEastAsia" w:hint="eastAsia"/>
          <w:b/>
          <w:sz w:val="22"/>
          <w:szCs w:val="22"/>
          <w:highlight w:val="yellow"/>
        </w:rPr>
        <w:t>第21条（本研究成果の公表）</w:t>
      </w:r>
      <w:r>
        <w:rPr>
          <w:rFonts w:asciiTheme="minorEastAsia" w:eastAsiaTheme="minorEastAsia" w:hAnsiTheme="minorEastAsia"/>
          <w:sz w:val="22"/>
          <w:szCs w:val="22"/>
        </w:rPr>
        <w:t xml:space="preserve">　</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本研究成果は、公表しないものとする。ただし、甲乙が別途書面で合意した場合は</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この限りではない。</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第22条（譲渡禁止）</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第23条（有効期間）</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本契約の失効後も、第19条、第20条、第26条、第27条の規定は、有効に存続する。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第24条（解除）</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甲及び乙は、次の各号のいずれかに該当し、催告後30日以内にかかる事態が是正されない場合は、直ちに本契約を解除することができるものとする。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）相手方が本契約の締結又は履行に関し、不正又は不当の行為をしたとき</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）相手方が本契約に違反したとき</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甲は、乙が次の各号のいずれかに該当したときは、何らの催告を要せず、直ちに本契約を解除することができる。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）仮差押命令を受け、又は公租公課の滞納処分を受けた場合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第25条（反社会的勢力の排除）</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甲及び乙（法人の場合にあっては、その役員又は使用人を含む。）は、相手方に対し、次の各号の事項を表明し、保証する。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①　自らが、暴力団、暴力団員、暴力団準構成員、暴力団員でなくなったときから</w:t>
      </w:r>
      <w:r>
        <w:rPr>
          <w:rFonts w:asciiTheme="minorEastAsia" w:eastAsiaTheme="minorEastAsia" w:hAnsiTheme="minorEastAsia"/>
          <w:sz w:val="22"/>
          <w:szCs w:val="22"/>
        </w:rPr>
        <w:t>5</w:t>
      </w:r>
      <w:r>
        <w:rPr>
          <w:rFonts w:asciiTheme="minorEastAsia" w:eastAsiaTheme="minorEastAsia" w:hAnsiTheme="minorEastAsia"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lastRenderedPageBreak/>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２　甲又は乙が、次の各号のいずれかに該当した場合は、相手方は、何らの催告なしに本契約を解約することができる。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①　前項①の確約に反する申告をしたことが判明した場合</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②　前項②の確約に反し契約をしたことが判明した場合</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③　前項③の確約に反する行為をした場合</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３　甲又は乙は、前項により本契約を解約したことにより相手方に損害が生じたとしても、一切の損害賠償義務を負わないものとする。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第26条（損害賠償）</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甲又は乙は、前条に掲げる事由、又は相手方の故意又は重大な過失により損害等を被ったときは、相手方に対して被った直接損害に限り賠償請求をできるものとする。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第27条（準拠法及び裁判管轄）</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本契約の準拠法は日本法とする。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この契約の締結を証するため、本契約書</w:t>
      </w:r>
      <w:r>
        <w:rPr>
          <w:rFonts w:asciiTheme="minorEastAsia" w:eastAsiaTheme="minorEastAsia" w:hAnsiTheme="minorEastAsia"/>
          <w:sz w:val="22"/>
          <w:szCs w:val="22"/>
        </w:rPr>
        <w:t>2</w:t>
      </w:r>
      <w:r>
        <w:rPr>
          <w:rFonts w:asciiTheme="minorEastAsia" w:eastAsiaTheme="minorEastAsia" w:hAnsiTheme="minorEastAsia" w:hint="eastAsia"/>
          <w:sz w:val="22"/>
          <w:szCs w:val="22"/>
        </w:rPr>
        <w:t>通を作成し、甲、乙それぞれ</w:t>
      </w:r>
      <w:r>
        <w:rPr>
          <w:rFonts w:asciiTheme="minorEastAsia" w:eastAsiaTheme="minorEastAsia" w:hAnsiTheme="minorEastAsia"/>
          <w:sz w:val="22"/>
          <w:szCs w:val="22"/>
        </w:rPr>
        <w:t>1</w:t>
      </w:r>
      <w:r>
        <w:rPr>
          <w:rFonts w:asciiTheme="minorEastAsia" w:eastAsiaTheme="minorEastAsia" w:hAnsiTheme="minorEastAsia" w:hint="eastAsia"/>
          <w:sz w:val="22"/>
          <w:szCs w:val="22"/>
        </w:rPr>
        <w:t>通を保管するものとする。</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平成　　年　　月　　日</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（甲）　［　</w:t>
      </w:r>
      <w:r>
        <w:rPr>
          <w:rFonts w:asciiTheme="minorEastAsia" w:eastAsiaTheme="minorEastAsia" w:hAnsiTheme="minorEastAsia" w:hint="eastAsia"/>
          <w:sz w:val="22"/>
          <w:szCs w:val="22"/>
        </w:rPr>
        <w:tab/>
        <w:t>所　在　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r>
        <w:rPr>
          <w:rFonts w:asciiTheme="minorEastAsia" w:eastAsiaTheme="minorEastAsia" w:hAnsiTheme="minorEastAsia" w:hint="eastAsia"/>
          <w:sz w:val="22"/>
          <w:szCs w:val="22"/>
        </w:rPr>
        <w:tab/>
        <w:t>名　　　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t xml:space="preserve">　　　学　　　長　　　［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（乙）　［　</w:t>
      </w:r>
      <w:r>
        <w:rPr>
          <w:rFonts w:asciiTheme="minorEastAsia" w:eastAsiaTheme="minorEastAsia" w:hAnsiTheme="minorEastAsia" w:hint="eastAsia"/>
          <w:sz w:val="22"/>
          <w:szCs w:val="22"/>
        </w:rPr>
        <w:tab/>
        <w:t>所　在　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r>
        <w:rPr>
          <w:rFonts w:asciiTheme="minorEastAsia" w:eastAsiaTheme="minorEastAsia" w:hAnsiTheme="minorEastAsia" w:hint="eastAsia"/>
          <w:sz w:val="22"/>
          <w:szCs w:val="22"/>
        </w:rPr>
        <w:tab/>
        <w:t>名　　　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代表取締役       ［　　　　　　］</w:t>
      </w:r>
    </w:p>
    <w:p>
      <w:pPr>
        <w:tabs>
          <w:tab w:val="clear" w:pos="960"/>
          <w:tab w:val="clear" w:pos="1920"/>
          <w:tab w:val="clear" w:pos="2880"/>
          <w:tab w:val="clear" w:pos="3840"/>
          <w:tab w:val="clear" w:pos="9096"/>
        </w:tabs>
        <w:rPr>
          <w:rFonts w:asciiTheme="minorEastAsia" w:eastAsiaTheme="minorEastAsia" w:hAnsiTheme="minorEastAsia"/>
          <w:sz w:val="22"/>
          <w:szCs w:val="22"/>
        </w:rPr>
      </w:pPr>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類型６（企業帰属・公表不可）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65B9-A020-42DD-A1BA-D7AA40FD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1070</Words>
  <Characters>6104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類型6</dc:title>
  <dc:creator>文部科学省</dc:creator>
  <cp:lastModifiedBy>AMT</cp:lastModifiedBy>
  <cp:revision>7</cp:revision>
  <cp:lastPrinted>2017-02-16T03:28:00Z</cp:lastPrinted>
  <dcterms:created xsi:type="dcterms:W3CDTF">2017-03-24T06:14:00Z</dcterms:created>
  <dcterms:modified xsi:type="dcterms:W3CDTF">2018-04-16T02:47:00Z</dcterms:modified>
</cp:coreProperties>
</file>